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6"/>
        <w:ind w:left="0" w:right="0" w:firstLine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71399" cy="1125315"/>
                <wp:effectExtent l="0" t="0" r="0" b="0"/>
                <wp:docPr id="1" name="Изображение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4293990" name="Изображение 7"/>
                        <pic:cNvPicPr/>
                        <pic:nvPr/>
                      </pic:nvPicPr>
                      <pic:blipFill>
                        <a:blip r:embed="rId13"/>
                        <a:srcRect l="23519" t="28558" r="19474" b="34151"/>
                        <a:stretch/>
                      </pic:blipFill>
                      <pic:spPr bwMode="auto">
                        <a:xfrm rot="0" flipH="0" flipV="0">
                          <a:off x="0" y="0"/>
                          <a:ext cx="5071397" cy="112531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9.32pt;height:88.6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1116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16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left"/>
        <w:spacing w:before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                                                                               «УТВЕРЖДАЮ»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Председатель закупочной комиссии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АО «ДГК» 1-го уровня-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аместитель Г</w:t>
      </w:r>
      <w:r>
        <w:rPr>
          <w:sz w:val="26"/>
          <w:szCs w:val="26"/>
        </w:rPr>
        <w:t xml:space="preserve">енерального директора п</w:t>
      </w:r>
      <w:r>
        <w:rPr>
          <w:sz w:val="26"/>
          <w:szCs w:val="26"/>
        </w:rPr>
        <w:t xml:space="preserve">о управлению ресурсами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Д.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Богонатов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«_____» __________________2026г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6"/>
        <w:ind w:left="4536"/>
        <w:keepNext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</w:pPr>
      <w:r/>
      <w:r/>
    </w:p>
    <w:p>
      <w:pPr>
        <w:pStyle w:val="1116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16"/>
        <w:jc w:val="center"/>
        <w:keepNext/>
        <w:spacing w:before="0" w:beforeAutospacing="0" w:line="240" w:lineRule="auto"/>
      </w:pPr>
      <w:r>
        <w:t xml:space="preserve">Аукцион в электронной форме, </w:t>
      </w:r>
      <w:r>
        <w:t xml:space="preserve">участниками которого могут быть только субъекты МСП, </w:t>
      </w:r>
      <w:r>
        <w:t xml:space="preserve">на право заключения договора на (</w:t>
      </w:r>
      <w:r>
        <w:t xml:space="preserve">ОКПД2: 22.19.40.110) поставку ленты конвейерной для АО «ДГК» </w:t>
      </w:r>
      <w:r>
        <w:t xml:space="preserve">в </w:t>
      </w:r>
      <w:r>
        <w:t xml:space="preserve">Амурской области, Еврейской автономной области, </w:t>
      </w:r>
      <w:r>
        <w:t xml:space="preserve">Приморском крае</w:t>
      </w:r>
      <w:r>
        <w:t xml:space="preserve">, </w:t>
      </w:r>
      <w:r>
        <w:t xml:space="preserve">Хабаровском крае</w:t>
      </w:r>
      <w:r/>
    </w:p>
    <w:p>
      <w:pPr>
        <w:pStyle w:val="1116"/>
        <w:jc w:val="center"/>
        <w:keepNext/>
        <w:spacing w:before="240"/>
      </w:pPr>
      <w:r>
        <w:t xml:space="preserve">(Лот №12016004</w:t>
      </w:r>
      <w:r>
        <w:t xml:space="preserve">-РЕМ ПРОД-2027-ДГК</w:t>
      </w:r>
      <w:r>
        <w:t xml:space="preserve">)</w:t>
      </w:r>
      <w:r/>
    </w:p>
    <w:p>
      <w:pPr>
        <w:pStyle w:val="1116"/>
        <w:keepNext/>
      </w:pPr>
      <w:r/>
      <w:r/>
    </w:p>
    <w:p>
      <w:pPr>
        <w:pStyle w:val="1116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5"/>
        <w:outlineLvl w:val="2"/>
      </w:pPr>
      <w:r>
        <w:t xml:space="preserve">Содержание</w:t>
      </w:r>
      <w:r/>
    </w:p>
    <w:p>
      <w:pPr>
        <w:pStyle w:val="1129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26"/>
          </w:rPr>
        </w:r>
        <w:r>
          <w:rPr>
            <w:rStyle w:val="1126"/>
          </w:rPr>
          <w:t xml:space="preserve">Сокращения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29"/>
        <w:tabs>
          <w:tab w:val="right" w:pos="9923" w:leader="none"/>
        </w:tabs>
      </w:pPr>
      <w:r/>
      <w:hyperlink w:tooltip="#_Toc2" w:anchor="_Toc2" w:history="1">
        <w:r>
          <w:rPr>
            <w:rStyle w:val="1126"/>
          </w:rPr>
        </w:r>
        <w:r>
          <w:rPr>
            <w:rStyle w:val="1126"/>
          </w:rPr>
          <w:t xml:space="preserve">Термины и определения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Основные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Статус настоящего раздела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Информация о проводимой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Правовой статус документов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Обжалование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Особые положения при проведении закупки с использованием ЭП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Прочие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требования к Участникам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Генеральные подрядчики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Общий 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Официальное размещение Извещения и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Подготовка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Разъяснение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Изменения </w:t>
        </w:r>
        <w:r>
          <w:rPr>
            <w:rStyle w:val="1126"/>
          </w:rPr>
          <w:t xml:space="preserve">Извещени</w:t>
        </w:r>
        <w:r>
          <w:rPr>
            <w:rStyle w:val="1126"/>
          </w:rPr>
          <w:t xml:space="preserve">я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(или)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Документаци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Подача заявок и их прием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Изменение и отзыв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первым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</w:t>
        </w:r>
        <w:r>
          <w:rPr>
            <w:rStyle w:val="1126"/>
          </w:rPr>
          <w:t xml:space="preserve">первых частей </w:t>
        </w:r>
        <w:r>
          <w:rPr>
            <w:rStyle w:val="1126"/>
          </w:rPr>
          <w:t xml:space="preserve">заявок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(</w:t>
        </w:r>
        <w:r>
          <w:rPr>
            <w:rStyle w:val="1126"/>
          </w:rPr>
          <w:t xml:space="preserve">отборочная стадия</w:t>
        </w:r>
        <w:r>
          <w:rPr>
            <w:rStyle w:val="1126"/>
          </w:rPr>
          <w:t xml:space="preserve">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Проведение аукциона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ко вторым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вторых частей заявок</w:t>
        </w:r>
        <w:r>
          <w:rPr>
            <w:rStyle w:val="1126"/>
          </w:rPr>
          <w:t xml:space="preserve"> (отборочная стадия)</w:t>
        </w:r>
        <w:r>
          <w:rPr>
            <w:rStyle w:val="1126"/>
          </w:rPr>
          <w:t xml:space="preserve">, в том числе (при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необходимости) проведение аккредитации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ценовым предложениям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ценовых предложений (отборочная стадия)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запросы разъяснений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Оценка и сопоставление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Применение </w:t>
        </w:r>
        <w:r>
          <w:rPr>
            <w:rStyle w:val="1126"/>
          </w:rPr>
          <w:t xml:space="preserve">законодательства о национальном режиме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38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Подведение итогов закупки (определение Победителя)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Признание закупки несостоявшейся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Отказ от проведения закупки</w:t>
        </w:r>
        <w:r>
          <w:rPr>
            <w:rStyle w:val="1126"/>
          </w:rPr>
          <w:t xml:space="preserve"> (отмена закупки)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</w:t>
        </w:r>
        <w:r>
          <w:rPr>
            <w:rStyle w:val="1126"/>
          </w:rPr>
          <w:t xml:space="preserve"> проведения закупки с необходимостью обеспечения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 проведения м</w:t>
        </w:r>
        <w:r>
          <w:rPr>
            <w:rStyle w:val="1126"/>
          </w:rPr>
          <w:t xml:space="preserve">ноголотов</w:t>
        </w:r>
        <w:r>
          <w:rPr>
            <w:rStyle w:val="1126"/>
          </w:rPr>
          <w:t xml:space="preserve">ой</w:t>
        </w:r>
        <w:r>
          <w:rPr>
            <w:rStyle w:val="1126"/>
          </w:rPr>
          <w:t xml:space="preserve"> закупк</w:t>
        </w:r>
        <w:r>
          <w:rPr>
            <w:rStyle w:val="1126"/>
          </w:rPr>
          <w:t xml:space="preserve">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орядок заключения </w:t>
        </w:r>
        <w:r>
          <w:rPr>
            <w:rStyle w:val="1126"/>
          </w:rPr>
          <w:t xml:space="preserve">Д</w:t>
        </w:r>
        <w:r>
          <w:rPr>
            <w:rStyle w:val="1126"/>
          </w:rPr>
          <w:t xml:space="preserve">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Заключение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Уклонение Победителя от заключения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51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 – Технические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Техническим требованиям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2 – Проект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54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роекту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3 – 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требованиям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Обязательные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Специальные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т</w:t>
        </w:r>
        <w:r>
          <w:rPr>
            <w:rStyle w:val="1126"/>
          </w:rPr>
          <w:t xml:space="preserve">ребования к Генеральным подрядчикам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4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60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</w:t>
        </w:r>
        <w:r>
          <w:rPr>
            <w:rStyle w:val="1126"/>
          </w:rPr>
          <w:t xml:space="preserve">м</w:t>
        </w:r>
        <w:r>
          <w:rPr>
            <w:rStyle w:val="1126"/>
          </w:rPr>
          <w:t xml:space="preserve">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5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Образцам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«Заверение об обстоятельствах»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6</w:t>
        </w:r>
        <w:r>
          <w:rPr>
            <w:rStyle w:val="1126"/>
          </w:rPr>
          <w:t xml:space="preserve"> –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7</w:t>
        </w:r>
        <w:r>
          <w:rPr>
            <w:rStyle w:val="1126"/>
          </w:rPr>
          <w:t xml:space="preserve"> – Отборочные критерии рассмотрения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26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26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65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66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68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26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26"/>
            <w:i w:val="0"/>
            <w:iCs w:val="0"/>
            <w:shd w:val="clear" w:color="auto" w:fill="auto"/>
          </w:rPr>
          <w:t xml:space="preserve">ок</w:t>
        </w:r>
        <w:r>
          <w:rPr>
            <w:rStyle w:val="1126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26"/>
            <w:i w:val="0"/>
            <w:iCs w:val="0"/>
            <w:shd w:val="clear" w:color="auto" w:fill="auto"/>
          </w:rPr>
          <w:t xml:space="preserve">е</w:t>
        </w:r>
        <w:r>
          <w:rPr>
            <w:rStyle w:val="1126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70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8</w:t>
        </w:r>
        <w:r>
          <w:rPr>
            <w:rStyle w:val="1126"/>
          </w:rPr>
          <w:t xml:space="preserve"> – 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72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9</w:t>
        </w:r>
        <w:r>
          <w:rPr>
            <w:rStyle w:val="1126"/>
          </w:rPr>
          <w:t xml:space="preserve"> – Обоснование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Обоснованию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</w:t>
        </w:r>
        <w:r>
          <w:rPr>
            <w:rStyle w:val="1126"/>
          </w:rPr>
          <w:t xml:space="preserve">0</w:t>
        </w:r>
        <w:r>
          <w:rPr>
            <w:rStyle w:val="1126"/>
          </w:rPr>
          <w:t xml:space="preserve"> – Форма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11 </w:t>
        </w:r>
        <w:r>
          <w:rPr>
            <w:rStyle w:val="1126"/>
          </w:rPr>
          <w:t xml:space="preserve">– форма Данных бухгалтерской (финансовой) отчетности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Данных бухгалтерской (финансовой) отчетности</w:t>
        </w:r>
        <w:r>
          <w:rPr>
            <w:rStyle w:val="1126"/>
          </w:rPr>
          <w:t xml:space="preserve"> 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75</w:t>
          <w:fldChar w:fldCharType="end"/>
        </w:r>
      </w:hyperlink>
      <w:r/>
      <w:r/>
    </w:p>
    <w:p>
      <w:pPr>
        <w:pStyle w:val="1116"/>
      </w:pP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fldChar w:fldCharType="end"/>
      </w:r>
      <w:r/>
    </w:p>
    <w:p>
      <w:pPr>
        <w:pStyle w:val="1116"/>
        <w:keepNext/>
        <w:spacing w:before="60"/>
        <w:rPr>
          <w:rStyle w:val="1147"/>
        </w:rPr>
      </w:pPr>
      <w:r>
        <w:rPr>
          <w:rStyle w:val="1147"/>
        </w:rPr>
        <w:t xml:space="preserve">[Примечание (дополнительные удобства работы с Документацией о закупке; </w:t>
      </w:r>
      <w:r>
        <w:rPr>
          <w:rStyle w:val="1147"/>
        </w:rPr>
        <w:t xml:space="preserve">Microsoft Word | </w:t>
      </w:r>
      <w:r>
        <w:rPr>
          <w:rStyle w:val="1147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47"/>
        </w:rPr>
        <w:t xml:space="preserve">):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47"/>
        </w:rPr>
        <w:t xml:space="preserve"> </w:t>
      </w:r>
      <w:r>
        <w:rPr>
          <w:rStyle w:val="1147"/>
        </w:rPr>
        <w:t xml:space="preserve">| </w:t>
      </w:r>
      <w:r>
        <w:rPr>
          <w:rStyle w:val="1147"/>
          <w:color w:val="4472c4" w:themeColor="accent1"/>
        </w:rPr>
        <w:t xml:space="preserve">включается на вкладке «Вид» опцией «Навигатор»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переход по перекрестным и другим ссылкам осуществляется левым кликом мыши с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зажатой клавишей Ctrl, обратный возврат на место в тексте, с котор</w:t>
      </w:r>
      <w:r>
        <w:rPr>
          <w:rStyle w:val="1147"/>
        </w:rPr>
        <w:t xml:space="preserve">ого</w:t>
      </w:r>
      <w:r>
        <w:rPr>
          <w:rStyle w:val="1147"/>
        </w:rPr>
        <w:t xml:space="preserve"> был </w:t>
      </w:r>
      <w:r>
        <w:rPr>
          <w:rStyle w:val="1147"/>
        </w:rPr>
        <w:t xml:space="preserve">сделан</w:t>
      </w:r>
      <w:r>
        <w:rPr>
          <w:rStyle w:val="1147"/>
        </w:rPr>
        <w:t xml:space="preserve"> переход, осуществляется нажатием стрелки влево (←) с зажатой левой клавишей Alt</w:t>
      </w:r>
      <w:r>
        <w:rPr>
          <w:rStyle w:val="1147"/>
        </w:rPr>
        <w:t xml:space="preserve"> </w:t>
      </w:r>
      <w:r>
        <w:rPr>
          <w:rStyle w:val="1147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47"/>
        </w:rPr>
        <w:t xml:space="preserve">е</w:t>
      </w:r>
      <w:r>
        <w:rPr>
          <w:rStyle w:val="1147"/>
        </w:rPr>
        <w:t xml:space="preserve"> документа (файла) в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тексте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7"/>
        </w:rPr>
        <w:t xml:space="preserve">.]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outlineLvl w:val="0"/>
      </w:pPr>
      <w:r/>
      <w:bookmarkStart w:id="401" w:name="_Toc1"/>
      <w:r>
        <w:t xml:space="preserve">Сокращения</w:t>
      </w:r>
      <w:bookmarkEnd w:id="401"/>
      <w:r/>
      <w:r/>
    </w:p>
    <w:p>
      <w:pPr>
        <w:pStyle w:val="1116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ЕАЭС</w:t>
      </w:r>
      <w:r>
        <w:t xml:space="preserve"> – Евразийский экономический союз.</w:t>
      </w:r>
      <w:r/>
    </w:p>
    <w:p>
      <w:pPr>
        <w:pStyle w:val="1116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16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16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16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16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16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16"/>
        <w:ind w:firstLine="567"/>
      </w:pPr>
      <w:r>
        <w:rPr>
          <w:b/>
          <w:bCs/>
        </w:rPr>
        <w:t xml:space="preserve">ПП 325</w:t>
      </w:r>
      <w:r>
        <w:t xml:space="preserve"> – постановление Правительства Российской Федерации от 23.03.2017 № 325 «Об утверждении дополнительных требований к программам для электронн</w:t>
      </w:r>
      <w:r>
        <w:t xml:space="preserve">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  <w:r/>
    </w:p>
    <w:p>
      <w:pPr>
        <w:pStyle w:val="1116"/>
        <w:ind w:firstLine="567"/>
      </w:pPr>
      <w:r>
        <w:rPr>
          <w:b/>
          <w:bCs/>
        </w:rPr>
        <w:t xml:space="preserve">ПП 719</w:t>
      </w:r>
      <w:r>
        <w:t xml:space="preserve"> – постановление Правительства Российской Федерации от 17.07. 2014 № 719 «О подтверждении производства российской промышленной продукции».</w:t>
      </w:r>
      <w:r/>
    </w:p>
    <w:p>
      <w:pPr>
        <w:pStyle w:val="1116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</w:t>
      </w:r>
      <w:r>
        <w:t xml:space="preserve">Российской Федерации </w:t>
      </w:r>
      <w:r>
        <w:t xml:space="preserve">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</w:t>
      </w:r>
      <w:r>
        <w:t xml:space="preserve"> 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</w:t>
      </w:r>
      <w:r>
        <w:t xml:space="preserve">Российской Федерации </w:t>
      </w:r>
      <w:r>
        <w:t xml:space="preserve">от 23.12.2024 №</w:t>
      </w:r>
      <w:r>
        <w:t xml:space="preserve"> </w:t>
      </w:r>
      <w:r>
        <w:t xml:space="preserve">1875 «О мерах по</w:t>
      </w:r>
      <w:r>
        <w:t xml:space="preserve"> 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16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15"/>
        <w:outlineLvl w:val="0"/>
      </w:pPr>
      <w:r/>
      <w:bookmarkStart w:id="402" w:name="_Toc2"/>
      <w:r>
        <w:t xml:space="preserve">Термины и определения</w:t>
      </w:r>
      <w:bookmarkEnd w:id="402"/>
      <w:r/>
      <w:r/>
    </w:p>
    <w:p>
      <w:pPr>
        <w:pStyle w:val="1116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16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16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16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16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16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16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16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</w:t>
      </w:r>
      <w:r>
        <w:t xml:space="preserve">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16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24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16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</w:t>
      </w:r>
      <w:r>
        <w:t xml:space="preserve">х</w:t>
      </w:r>
      <w:r>
        <w:t xml:space="preserve"> услови</w:t>
      </w:r>
      <w:r>
        <w:t xml:space="preserve">й</w:t>
      </w:r>
      <w:r>
        <w:t xml:space="preserve">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</w:t>
      </w:r>
      <w:r>
        <w:t xml:space="preserve">налоговый режим «Налог на профессиональный доход»</w:t>
      </w:r>
      <w:r>
        <w:rPr>
          <w:rStyle w:val="1124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</w:t>
      </w:r>
      <w:r>
        <w:t xml:space="preserve">, </w:t>
      </w:r>
      <w:r>
        <w:rPr>
          <w:rFonts w:eastAsia="Calibri" w:cs="Times New Roman"/>
          <w:shd w:val="clear" w:color="auto" w:fill="ffffff" w:themeFill="background1"/>
        </w:rPr>
        <w:t xml:space="preserve">в том числе выданной в порядке передоверия</w:t>
      </w:r>
      <w:r>
        <w:rPr>
          <w:rFonts w:eastAsia="Calibri" w:cs="Times New Roman"/>
          <w:shd w:val="clear" w:color="auto" w:fill="ffffff" w:themeFill="background1"/>
        </w:rPr>
        <w:t xml:space="preserve">,</w:t>
      </w:r>
      <w:r>
        <w:t xml:space="preserve"> от имени организации, полномочия которых подтверждены соответствующими документами.</w:t>
      </w:r>
      <w:r/>
    </w:p>
    <w:p>
      <w:pPr>
        <w:pStyle w:val="1116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лицо, в том числе индивидуальный предприниматель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10"/>
      </w:pPr>
      <w:r/>
      <w:bookmarkStart w:id="403" w:name="_Toc3"/>
      <w:r/>
      <w:bookmarkStart w:id="3" w:name="_Ref125359988"/>
      <w:r>
        <w:t xml:space="preserve">Основные сведения о закупке</w:t>
      </w:r>
      <w:bookmarkEnd w:id="3"/>
      <w:r/>
      <w:bookmarkEnd w:id="403"/>
      <w:r/>
      <w:r/>
    </w:p>
    <w:p>
      <w:pPr>
        <w:pStyle w:val="1111"/>
      </w:pPr>
      <w:r/>
      <w:bookmarkStart w:id="404" w:name="_Toc4"/>
      <w:r>
        <w:t xml:space="preserve">Статус настоящего раздела</w:t>
      </w:r>
      <w:bookmarkEnd w:id="404"/>
      <w:r/>
      <w:r/>
    </w:p>
    <w:p>
      <w:pPr>
        <w:pStyle w:val="1112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2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</w:t>
        </w:r>
        <w:r>
          <w:rPr>
            <w:rStyle w:val="1140"/>
          </w:rPr>
          <w:t xml:space="preserve">ях (Приложение № 1)</w:t>
        </w:r>
      </w:hyperlink>
      <w:r>
        <w:rPr>
          <w:rStyle w:val="1140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</w:t>
        </w:r>
        <w:r>
          <w:rPr>
            <w:rStyle w:val="1140"/>
          </w:rPr>
          <w:t xml:space="preserve">е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12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11"/>
        <w:spacing w:after="120"/>
      </w:pPr>
      <w:r/>
      <w:bookmarkStart w:id="405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405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spacing w:before="60" w:after="60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Лот №12016004</w:t>
            </w:r>
            <w:r>
              <w:rPr>
                <w:b w:val="0"/>
                <w:bCs w:val="0"/>
                <w:sz w:val="26"/>
                <w:szCs w:val="26"/>
              </w:rPr>
              <w:t xml:space="preserve">-РЕМ ПРОД-2027-ДГК</w:t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  <w:p>
            <w:pPr>
              <w:pStyle w:val="1116"/>
              <w:rPr>
                <w:i/>
                <w:iCs/>
                <w:shd w:val="clear" w:color="auto" w:fill="ffff99"/>
              </w:rPr>
            </w:pP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</w:rPr>
              <w:t xml:space="preserve">ОКПД2: 22.19.40.110 Поставка ленты конвейерной для АО «ДГК» </w:t>
            </w:r>
            <w:r>
              <w:rPr>
                <w:b/>
                <w:bCs/>
              </w:rPr>
              <w:t xml:space="preserve">в </w:t>
            </w:r>
            <w:r>
              <w:rPr>
                <w:b/>
                <w:bCs/>
              </w:rPr>
              <w:t xml:space="preserve">Амурской области, Еврейской автономной области, </w:t>
            </w:r>
            <w:r>
              <w:rPr>
                <w:b/>
                <w:bCs/>
              </w:rPr>
              <w:t xml:space="preserve">Приморском крае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 xml:space="preserve">Хабаровском крае</w:t>
            </w:r>
            <w:r>
              <w:rPr>
                <w:i/>
                <w:iCs/>
                <w:shd w:val="clear" w:color="auto" w:fill="ffff99"/>
              </w:rPr>
            </w:r>
            <w:r>
              <w:rPr>
                <w:i/>
                <w:iCs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(Приложении № 1)</w:t>
              </w:r>
            </w:hyperlink>
            <w:r>
              <w:t xml:space="preserve">, </w:t>
            </w:r>
            <w:r>
              <w:t xml:space="preserve">в</w:t>
            </w:r>
            <w:r>
              <w:t xml:space="preserve"> </w:t>
            </w:r>
            <w:r>
              <w:t xml:space="preserve">части требований, обусловленных законодательством о национальном режиме дополнительно в Структуре НМЦ (в составе Коммерческого предложения (форма</w:t>
            </w:r>
            <w:r>
              <w:t xml:space="preserve"> </w:t>
            </w:r>
            <w:r>
              <w:t xml:space="preserve">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4" w:tooltip="https://msp.roseltorg.ru" w:history="1">
              <w:r>
                <w:rPr>
                  <w:rStyle w:val="1126"/>
                </w:rPr>
                <w:t xml:space="preserve">https://corp.roseltorg.ru</w:t>
              </w:r>
            </w:hyperlink>
            <w:r/>
            <w:r/>
          </w:p>
          <w:p>
            <w:pPr>
              <w:pStyle w:val="1116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hyperlink r:id="rId15" w:tooltip="http://www.roseltorg.ru/knowledge_db/docs/documents" w:history="1">
              <w:r>
                <w:rPr>
                  <w:rStyle w:val="1126"/>
                  <w:highlight w:val="white"/>
                </w:rPr>
                <w:t xml:space="preserve">www.roseltorg.ru/knowledge_db/docs/documents</w:t>
              </w:r>
              <w:r>
                <w:rPr>
                  <w:rStyle w:val="1126"/>
                  <w:highlight w:val="none"/>
                </w:rPr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</w:t>
            </w:r>
            <w:r>
              <w:t xml:space="preserve">е</w:t>
            </w:r>
            <w:r>
              <w:t xml:space="preserve">ся индивидуальными предпринимателями и применяющи</w:t>
            </w:r>
            <w:r>
              <w:t xml:space="preserve">е</w:t>
            </w:r>
            <w:r>
              <w:t xml:space="preserve">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r>
              <w:rPr>
                <w:b w:val="0"/>
                <w:sz w:val="26"/>
                <w:szCs w:val="26"/>
              </w:rPr>
            </w:r>
            <w:hyperlink r:id="rId16" w:tooltip="mailto:dgk@dgk.ru" w:history="1">
              <w:r>
                <w:rPr>
                  <w:rStyle w:val="1126"/>
                  <w:b w:val="0"/>
                  <w:sz w:val="26"/>
                  <w:szCs w:val="26"/>
                </w:rPr>
                <w:t xml:space="preserve">dgk@dgk.ru</w:t>
              </w:r>
            </w:hyperlink>
            <w:r/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26-43-63</w:t>
            </w:r>
            <w:r>
              <w:rPr>
                <w:rStyle w:val="1121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r>
              <w:rPr>
                <w:b w:val="0"/>
                <w:sz w:val="26"/>
                <w:szCs w:val="26"/>
              </w:rPr>
            </w:r>
            <w:hyperlink r:id="rId17" w:tooltip="mailto:dgk@dgk.ru" w:history="1">
              <w:r>
                <w:rPr>
                  <w:rStyle w:val="1126"/>
                  <w:b w:val="0"/>
                  <w:sz w:val="26"/>
                  <w:szCs w:val="26"/>
                </w:rPr>
              </w:r>
              <w:r>
                <w:rPr>
                  <w:rStyle w:val="1126"/>
                  <w:b w:val="0"/>
                  <w:sz w:val="26"/>
                  <w:szCs w:val="26"/>
                </w:rPr>
                <w:t xml:space="preserve">fedyasheva-ig@dgk.ru</w:t>
              </w:r>
              <w:r>
                <w:rPr>
                  <w:rStyle w:val="1126"/>
                  <w:b w:val="0"/>
                  <w:sz w:val="26"/>
                  <w:szCs w:val="26"/>
                </w:rPr>
              </w:r>
            </w:hyperlink>
            <w:r/>
            <w:r/>
          </w:p>
          <w:p>
            <w:pPr>
              <w:pStyle w:val="1116"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26-43-73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Контактное лицо (Ф.И.О.):</w:t>
            </w:r>
            <w:r/>
          </w:p>
          <w:p>
            <w:pPr>
              <w:pStyle w:val="1116"/>
            </w:pPr>
            <w:r>
              <w:rPr>
                <w:b w:val="0"/>
                <w:sz w:val="26"/>
                <w:szCs w:val="26"/>
              </w:rPr>
              <w:t xml:space="preserve">Федяшева Ирина Геннадьевна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hyperlink r:id="rId18" w:tooltip="mailto:fedyasheva-ig@dgk.ru" w:history="1">
              <w:r>
                <w:rPr>
                  <w:rStyle w:val="1126"/>
                </w:rPr>
                <w:t xml:space="preserve">fedyasheva-ig@dgk.ru</w:t>
              </w:r>
            </w:hyperlink>
            <w:r/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26-43-73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«10»</w:t>
            </w:r>
            <w:r>
              <w:t xml:space="preserve"> августа</w:t>
            </w:r>
            <w:r>
              <w:t xml:space="preserve">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28 751 854,98</w:t>
            </w:r>
            <w:r>
              <w:t xml:space="preserve"> </w:t>
            </w:r>
            <w:r>
              <w:t xml:space="preserve">руб., без учета НДС.</w:t>
            </w:r>
            <w:r/>
          </w:p>
          <w:p>
            <w:pPr>
              <w:pStyle w:val="1116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40"/>
                </w:rPr>
                <w:t xml:space="preserve">Приложени</w:t>
              </w:r>
              <w:r>
                <w:rPr>
                  <w:rStyle w:val="1140"/>
                </w:rPr>
                <w:t xml:space="preserve">и</w:t>
              </w:r>
              <w:r>
                <w:rPr>
                  <w:rStyle w:val="1140"/>
                </w:rPr>
                <w:t xml:space="preserve">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0,5% – 5,0% от НМЦ, что составляет:</w:t>
            </w:r>
            <w:r/>
          </w:p>
          <w:p>
            <w:pPr>
              <w:pStyle w:val="1116"/>
            </w:pPr>
            <w:r>
              <w:t xml:space="preserve">143 759,27 руб. – 1 437 592,75 руб., без учета НДС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Требуется.</w:t>
            </w:r>
            <w:r/>
          </w:p>
          <w:p>
            <w:pPr>
              <w:pStyle w:val="1116"/>
            </w:pPr>
            <w:r>
              <w:t xml:space="preserve">Размер обеспечения заявок:</w:t>
            </w:r>
            <w:r/>
          </w:p>
          <w:p>
            <w:pPr>
              <w:pStyle w:val="1116"/>
            </w:pPr>
            <w:r>
              <w:t xml:space="preserve">268 103</w:t>
            </w:r>
            <w:r>
              <w:t xml:space="preserve">,78 (двести шестьдесят восемь тысяч сто три</w:t>
            </w:r>
            <w:r>
              <w:t xml:space="preserve">) рубля 78  копеек, НДС не облагается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16"/>
              <w:ind w:left="0" w:firstLine="0"/>
            </w:pPr>
            <w:r>
              <w:t xml:space="preserve">-   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16"/>
              <w:ind w:left="0" w:firstLine="0"/>
            </w:pPr>
            <w:r>
              <w:t xml:space="preserve">- 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  <w:rPr>
                <w:rStyle w:val="1121"/>
                <w:i w:val="0"/>
                <w:iCs w:val="0"/>
                <w:shd w:val="clear" w:color="auto" w:fill="auto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  <w:p>
            <w:pPr>
              <w:pStyle w:val="1116"/>
              <w:ind w:left="0" w:right="0" w:firstLine="0"/>
              <w:spacing w:before="0" w:beforeAutospacing="0" w:after="0" w:afterAutospacing="0"/>
              <w:suppressLineNumbers w:val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ИНН 1434031363 КПП 997650001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К/с 30101810600000000608  </w:t>
            </w:r>
            <w:r>
              <w:t xml:space="preserve">БИК 040813608</w:t>
            </w:r>
            <w:r/>
          </w:p>
          <w:p>
            <w:pPr>
              <w:pStyle w:val="1116"/>
              <w:rPr>
                <w:b/>
                <w:bCs/>
              </w:rPr>
            </w:pPr>
            <w:r>
              <w:rPr>
                <w:rStyle w:val="1121"/>
                <w:b/>
                <w:bCs/>
                <w:i w:val="0"/>
                <w:iCs w:val="0"/>
                <w:shd w:val="clear" w:color="auto" w:fill="auto"/>
              </w:rPr>
              <w:t xml:space="preserve">Внимание!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ператора ЭП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продукции, </w:t>
            </w:r>
            <w:r>
              <w:t xml:space="preserve">указанные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</w:t>
              </w:r>
              <w:r>
                <w:rPr>
                  <w:rStyle w:val="1140"/>
                </w:rPr>
                <w:t xml:space="preserve">я</w:t>
              </w:r>
              <w:r>
                <w:rPr>
                  <w:rStyle w:val="1140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</w:t>
            </w:r>
            <w:r>
              <w:t xml:space="preserve">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</w:t>
              </w:r>
              <w:r>
                <w:rPr>
                  <w:rStyle w:val="1140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Национальный режим не предоставляется.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16"/>
            </w:pPr>
            <w:r>
              <w:rPr>
                <w:b/>
                <w:bCs/>
              </w:rPr>
              <w:t xml:space="preserve">Установлен режим ограничения закупки иностранной продукции (</w:t>
            </w:r>
            <w:r>
              <w:rPr>
                <w:b/>
                <w:bCs/>
              </w:rPr>
              <w:t xml:space="preserve">или ее части</w:t>
            </w:r>
            <w:r>
              <w:rPr>
                <w:b/>
                <w:bCs/>
              </w:rPr>
              <w:t xml:space="preserve">).</w:t>
            </w:r>
            <w:r/>
          </w:p>
          <w:p>
            <w:pPr>
              <w:pStyle w:val="1116"/>
            </w:pPr>
            <w:r>
              <w:t xml:space="preserve">Подробнее в отношении каждой позиции закупаемой продукции указано в Структуре НМЦ (в составе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начала подачи заявок:</w:t>
            </w:r>
            <w:r/>
          </w:p>
          <w:p>
            <w:pPr>
              <w:pStyle w:val="1116"/>
            </w:pPr>
            <w:r>
              <w:t xml:space="preserve">«10»</w:t>
            </w:r>
            <w:r>
              <w:t xml:space="preserve"> августа</w:t>
            </w:r>
            <w:r>
              <w:t xml:space="preserve"> 2026 г.</w:t>
            </w:r>
            <w:r/>
          </w:p>
          <w:p>
            <w:pPr>
              <w:pStyle w:val="1116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16"/>
            </w:pPr>
            <w:r>
              <w:t xml:space="preserve">«24»</w:t>
            </w:r>
            <w:r>
              <w:t xml:space="preserve"> августа</w:t>
            </w:r>
            <w:r>
              <w:t xml:space="preserve"> 2026 г. в 17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16"/>
            </w:pPr>
            <w:r>
              <w:t xml:space="preserve">«24» августа 2026 г. в 17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  <w:p>
            <w:pPr>
              <w:pStyle w:val="1116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«04» сентября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«08» сентября 2026 г. в 17 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«22» сентября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</w:t>
            </w:r>
            <w:r>
              <w:rPr>
                <w:color w:val="000000" w:themeColor="text1"/>
              </w:rPr>
              <w:t xml:space="preserve">28</w:t>
            </w:r>
            <w:r>
              <w:t xml:space="preserve">» сентября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предоставляется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Канцелярия АО «ДГК»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Почтовый адрес: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680000 г. Хабаровск ул. Фрунзе, 49,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тел. (4212) 26-42-43,  (4212) 26-43-63,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/>
                <w:bCs w:val="0"/>
                <w:i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контактное лицо указать:</w:t>
            </w:r>
            <w:r>
              <w:rPr>
                <w:b/>
                <w:bCs w:val="0"/>
                <w:i w:val="0"/>
              </w:rPr>
            </w:r>
            <w:r>
              <w:rPr>
                <w:b/>
                <w:bCs w:val="0"/>
                <w:i w:val="0"/>
              </w:rPr>
            </w:r>
          </w:p>
          <w:p>
            <w:pPr>
              <w:pStyle w:val="1116"/>
              <w:keepNext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для Плевако Оксаны Витальевны»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</w:t>
            </w:r>
            <w:r>
              <w:t xml:space="preserve">.</w:t>
            </w:r>
            <w:r/>
          </w:p>
          <w:p>
            <w:pPr>
              <w:pStyle w:val="1116"/>
              <w:rPr>
                <w:szCs w:val="26"/>
              </w:rPr>
            </w:pPr>
            <w:r>
              <w:t xml:space="preserve">Обязательства по договору, которые должны быть </w:t>
            </w:r>
            <w:r>
              <w:rPr>
                <w:szCs w:val="26"/>
              </w:rPr>
              <w:t xml:space="preserve">обеспечены</w:t>
            </w:r>
            <w:r>
              <w:rPr>
                <w:szCs w:val="26"/>
              </w:rPr>
              <w:t xml:space="preserve">: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rPr>
                <w:szCs w:val="26"/>
              </w:rPr>
            </w:pPr>
            <w:r>
              <w:rPr>
                <w:szCs w:val="26"/>
              </w:rPr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14"/>
              </w:numPr>
              <w:ind w:left="284" w:hanging="284"/>
              <w:keepNext/>
              <w:rPr>
                <w:szCs w:val="26"/>
              </w:rPr>
            </w:pPr>
            <w:r/>
            <w:bookmarkStart w:id="34" w:name="_Ref131405087"/>
            <w:r>
              <w:rPr>
                <w:szCs w:val="26"/>
              </w:rPr>
              <w:t xml:space="preserve">надлежащее исполнение обязательств по</w:t>
            </w:r>
            <w:r>
              <w:rPr>
                <w:szCs w:val="26"/>
              </w:rPr>
              <w:t xml:space="preserve"> </w:t>
            </w:r>
            <w:r>
              <w:rPr>
                <w:szCs w:val="26"/>
              </w:rPr>
              <w:t xml:space="preserve">договору:</w:t>
            </w:r>
            <w:bookmarkEnd w:id="34"/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размер обеспечения:</w:t>
            </w:r>
            <w:r>
              <w:t xml:space="preserve"> </w:t>
            </w:r>
            <w:r>
              <w:rPr>
                <w:color w:val="000000"/>
              </w:rPr>
              <w:t xml:space="preserve">5 (пять) </w:t>
            </w:r>
            <w:r>
              <w:rPr>
                <w:color w:val="000000"/>
              </w:rPr>
              <w:t xml:space="preserve">процентов</w:t>
            </w:r>
            <w:r>
              <w:rPr>
                <w:color w:val="000000"/>
              </w:rPr>
              <w:t xml:space="preserve"> </w:t>
            </w:r>
            <w:r>
              <w:rPr>
                <w:iCs/>
              </w:rPr>
              <w:t xml:space="preserve">(НДС не облагается) от суммы Договора, в соответствии с официально размещённым итоговым протоколом по результатам закупки, с учетом результатов преддоговорных переговоров (в случае проведения таковых)</w:t>
            </w:r>
            <w:r>
              <w:t xml:space="preserve">;</w:t>
            </w:r>
            <w:r>
              <w:rPr>
                <w:rStyle w:val="1121"/>
              </w:rPr>
            </w:r>
            <w:r/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валюта обеспечения: </w:t>
            </w:r>
            <w:r>
              <w:t xml:space="preserve">российский рубль</w:t>
            </w:r>
            <w:r>
              <w:t xml:space="preserve">;</w:t>
            </w:r>
            <w:r/>
          </w:p>
          <w:p>
            <w:pPr>
              <w:pStyle w:val="1116"/>
              <w:rPr>
                <w:color w:val="ff0000"/>
              </w:rPr>
            </w:pPr>
            <w:r>
              <w:t xml:space="preserve">Иные требования к обеспечению исполнения Договора </w:t>
            </w:r>
            <w:r>
              <w:rPr>
                <w:color w:val="auto"/>
              </w:rPr>
              <w:t xml:space="preserve">приведены в </w:t>
            </w:r>
            <w:hyperlink w:tooltip="#Прил02_ПроектДоговора" w:anchor="Прил02_ПроектДоговора" w:history="1">
              <w:r>
                <w:rPr>
                  <w:rStyle w:val="1140"/>
                  <w:color w:val="auto"/>
                </w:rPr>
                <w:t xml:space="preserve">Приложении № 2</w:t>
              </w:r>
            </w:hyperlink>
            <w:r>
              <w:rPr>
                <w:color w:val="auto"/>
              </w:rPr>
              <w:t xml:space="preserve">.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pStyle w:val="1110"/>
      </w:pPr>
      <w:r/>
      <w:bookmarkStart w:id="406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406"/>
      <w:r/>
      <w:r/>
    </w:p>
    <w:p>
      <w:pPr>
        <w:pStyle w:val="1111"/>
      </w:pPr>
      <w:r/>
      <w:bookmarkStart w:id="407" w:name="_Toc7"/>
      <w:r>
        <w:t xml:space="preserve">Общие сведения о закупке</w:t>
      </w:r>
      <w:bookmarkEnd w:id="407"/>
      <w:r/>
      <w:r/>
    </w:p>
    <w:p>
      <w:pPr>
        <w:pStyle w:val="1112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12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2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Приложении № 2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 предоставляется, то требования к закупаемой продукции (в части страны происхождения товара)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40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5</w:t>
        </w:r>
      </w:hyperlink>
      <w:r>
        <w:t xml:space="preserve">.</w:t>
      </w:r>
      <w:r/>
    </w:p>
    <w:p>
      <w:pPr>
        <w:pStyle w:val="1111"/>
      </w:pPr>
      <w:r/>
      <w:bookmarkStart w:id="408" w:name="_Toc8"/>
      <w:r>
        <w:t xml:space="preserve">Правовой статус документов</w:t>
      </w:r>
      <w:bookmarkEnd w:id="408"/>
      <w:r/>
      <w:r/>
    </w:p>
    <w:p>
      <w:pPr>
        <w:pStyle w:val="1112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2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2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5.2.9</w:t>
      </w:r>
      <w:r>
        <w:fldChar w:fldCharType="end"/>
      </w:r>
      <w:bookmarkEnd w:id="40"/>
      <w:r>
        <w:t xml:space="preserve">.</w:t>
      </w:r>
      <w:r/>
    </w:p>
    <w:p>
      <w:pPr>
        <w:pStyle w:val="1112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12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12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12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2"/>
      </w:pPr>
      <w:r>
        <w:t xml:space="preserve">Любые уведомления, письма, предложения, иная переписка и действия председателя, за</w:t>
      </w:r>
      <w:r>
        <w:t xml:space="preserve">местителя председателя, членов, секретаря Закупочной 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1"/>
      </w:pPr>
      <w:r/>
      <w:bookmarkStart w:id="409" w:name="_Toc9"/>
      <w:r/>
      <w:bookmarkStart w:id="41" w:name="_Ref125363536"/>
      <w:r>
        <w:t xml:space="preserve">Обжалование</w:t>
      </w:r>
      <w:bookmarkEnd w:id="41"/>
      <w:r/>
      <w:bookmarkEnd w:id="409"/>
      <w:r/>
      <w:r/>
    </w:p>
    <w:p>
      <w:pPr>
        <w:pStyle w:val="1112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12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2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13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13"/>
      </w:pPr>
      <w:r>
        <w:t xml:space="preserve">признать заявление Участника необоснованным.</w:t>
      </w:r>
      <w:r/>
    </w:p>
    <w:p>
      <w:pPr>
        <w:pStyle w:val="1112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12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13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13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</w:t>
      </w:r>
      <w:bookmarkStart w:id="43" w:name="_Hlk219296876"/>
      <w:r>
        <w:t xml:space="preserve">Красноярского края</w:t>
      </w:r>
      <w:bookmarkEnd w:id="43"/>
      <w:r>
        <w:t xml:space="preserve">.</w:t>
      </w:r>
      <w:r/>
    </w:p>
    <w:p>
      <w:pPr>
        <w:pStyle w:val="1116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11"/>
      </w:pPr>
      <w:r/>
      <w:bookmarkStart w:id="410" w:name="_Toc10"/>
      <w:r>
        <w:t xml:space="preserve">Особые положения при проведении закупки с использованием ЭП</w:t>
      </w:r>
      <w:bookmarkEnd w:id="410"/>
      <w:r/>
      <w:r/>
    </w:p>
    <w:p>
      <w:pPr>
        <w:pStyle w:val="1112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12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12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2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12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1"/>
      </w:pPr>
      <w:r/>
      <w:bookmarkStart w:id="411" w:name="_Toc11"/>
      <w:r>
        <w:t xml:space="preserve">Прочие положения</w:t>
      </w:r>
      <w:bookmarkEnd w:id="411"/>
      <w:r/>
      <w:r/>
    </w:p>
    <w:p>
      <w:pPr>
        <w:pStyle w:val="1112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2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12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10"/>
      </w:pPr>
      <w:r/>
      <w:bookmarkStart w:id="412" w:name="_Toc12"/>
      <w:r/>
      <w:bookmarkStart w:id="46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6"/>
      <w:r/>
      <w:bookmarkEnd w:id="412"/>
      <w:r/>
      <w:r/>
    </w:p>
    <w:p>
      <w:pPr>
        <w:pStyle w:val="1111"/>
      </w:pPr>
      <w:r/>
      <w:bookmarkStart w:id="413" w:name="_Toc13"/>
      <w:r/>
      <w:bookmarkStart w:id="48" w:name="_Ref127524530"/>
      <w:r>
        <w:t xml:space="preserve">Общие требования к Участникам</w:t>
      </w:r>
      <w:bookmarkEnd w:id="48"/>
      <w:r/>
      <w:bookmarkEnd w:id="413"/>
      <w:r/>
      <w:r/>
    </w:p>
    <w:p>
      <w:pPr>
        <w:pStyle w:val="1112"/>
      </w:pPr>
      <w:r/>
      <w:bookmarkStart w:id="50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</w:t>
      </w:r>
      <w:r>
        <w:t xml:space="preserve">сле индивидуальный предприниматель),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</w:t>
      </w:r>
      <w:r>
        <w:t xml:space="preserve">.</w:t>
      </w:r>
      <w:bookmarkEnd w:id="50"/>
      <w:r/>
      <w:r/>
    </w:p>
    <w:p>
      <w:pPr>
        <w:pStyle w:val="1112"/>
      </w:pPr>
      <w:r>
        <w:t xml:space="preserve">Однако, чтобы претендовать на победу в закупке Участник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Проекта договора (Приложение № 2)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</w:t>
      </w:r>
      <w:r>
        <w:t xml:space="preserve"> </w:t>
      </w:r>
      <w:r>
        <w:t xml:space="preserve">предоставляется, то требования к Участникам (в части страны его регистрации)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Приложении № 3</w:t>
        </w:r>
      </w:hyperlink>
      <w:r>
        <w:t xml:space="preserve">:</w:t>
      </w:r>
      <w:r/>
    </w:p>
    <w:p>
      <w:pPr>
        <w:pStyle w:val="1113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13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 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/>
      <w:bookmarkStart w:id="51" w:name="_Ref125361969"/>
      <w:r/>
      <w:bookmarkStart w:id="52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Требованиях к Участникам (Приложение № 3)</w:t>
        </w:r>
      </w:hyperlink>
      <w:r>
        <w:t xml:space="preserve">, </w:t>
      </w:r>
      <w:bookmarkStart w:id="53" w:name="_Hlk132706049"/>
      <w:r>
        <w:t xml:space="preserve">если иное не установлено в Документации о закупке</w:t>
      </w:r>
      <w:bookmarkEnd w:id="53"/>
      <w:r>
        <w:t xml:space="preserve">.</w:t>
      </w:r>
      <w:r/>
    </w:p>
    <w:p>
      <w:pPr>
        <w:pStyle w:val="1111"/>
      </w:pPr>
      <w:r/>
      <w:bookmarkStart w:id="414" w:name="_Toc14"/>
      <w:r/>
      <w:bookmarkStart w:id="74" w:name="_Ref125361702"/>
      <w:r/>
      <w:bookmarkEnd w:id="51"/>
      <w:r/>
      <w:bookmarkEnd w:id="52"/>
      <w:r>
        <w:t xml:space="preserve">Генеральные подрядчики</w:t>
      </w:r>
      <w:bookmarkEnd w:id="74"/>
      <w:r/>
      <w:bookmarkEnd w:id="414"/>
      <w:r/>
      <w:r/>
    </w:p>
    <w:p>
      <w:pPr>
        <w:pStyle w:val="1112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12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2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13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13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  <w:keepNext/>
      </w:pPr>
      <w:r/>
      <w:bookmarkStart w:id="76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13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16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76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</w:pPr>
      <w:r/>
      <w:bookmarkStart w:id="77" w:name="_Ref125361799"/>
      <w:r>
        <w:t xml:space="preserve">Любое юридическое или физическое лицо (в том числе индивидуальный предприниматель) может являться субподрядчиком у произвольного числа Генер</w:t>
      </w:r>
      <w:r>
        <w:t xml:space="preserve">альных подрядчиков, а также имеет право самостоятельно принимать участие в закупке.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отклонены.</w:t>
      </w:r>
      <w:bookmarkEnd w:id="77"/>
      <w:r/>
      <w:r/>
    </w:p>
    <w:p>
      <w:pPr>
        <w:pStyle w:val="1112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12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15" w:name="_Toc15"/>
      <w:r/>
      <w:bookmarkStart w:id="78" w:name="_Ref125361211"/>
      <w:r/>
      <w:bookmarkStart w:id="79" w:name="_Ref125367098"/>
      <w:r/>
      <w:bookmarkStart w:id="80" w:name="_Ref125367107"/>
      <w:r/>
      <w:bookmarkStart w:id="81" w:name="_Ref125367974"/>
      <w:r>
        <w:t xml:space="preserve">Порядок проведения закупки</w:t>
      </w:r>
      <w:bookmarkEnd w:id="78"/>
      <w:r/>
      <w:bookmarkEnd w:id="79"/>
      <w:r/>
      <w:bookmarkEnd w:id="80"/>
      <w:r/>
      <w:bookmarkEnd w:id="81"/>
      <w:r/>
      <w:bookmarkEnd w:id="415"/>
      <w:r/>
      <w:r/>
    </w:p>
    <w:p>
      <w:pPr>
        <w:pStyle w:val="1111"/>
      </w:pPr>
      <w:r/>
      <w:bookmarkStart w:id="416" w:name="_Toc16"/>
      <w:r/>
      <w:bookmarkStart w:id="83" w:name="_Ref126141932"/>
      <w:r>
        <w:t xml:space="preserve">Общий порядок проведения закупки</w:t>
      </w:r>
      <w:bookmarkEnd w:id="83"/>
      <w:r/>
      <w:bookmarkEnd w:id="416"/>
      <w:r/>
      <w:r/>
    </w:p>
    <w:p>
      <w:pPr>
        <w:pStyle w:val="1112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7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</w:t>
            </w:r>
            <w:r>
              <w:rPr>
                <w:bCs/>
                <w:sz w:val="24"/>
                <w:szCs w:val="24"/>
              </w:rPr>
              <w:t xml:space="preserve">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</w:t>
            </w:r>
            <w:r>
              <w:rPr>
                <w:bCs/>
                <w:sz w:val="24"/>
                <w:szCs w:val="24"/>
              </w:rPr>
              <w:t xml:space="preserve"> или запрета</w:t>
            </w:r>
            <w:r>
              <w:rPr>
                <w:bCs/>
                <w:sz w:val="24"/>
                <w:szCs w:val="24"/>
              </w:rPr>
              <w:t xml:space="preserve"> в отношении работ, услуг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</w:t>
            </w:r>
            <w:r>
              <w:rPr>
                <w:bCs/>
                <w:sz w:val="24"/>
                <w:szCs w:val="24"/>
              </w:rPr>
              <w:t xml:space="preserve">о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 (</w:t>
            </w:r>
            <w:r>
              <w:rPr>
                <w:bCs/>
                <w:sz w:val="24"/>
                <w:szCs w:val="24"/>
                <w:u w:val="single"/>
              </w:rPr>
              <w:t xml:space="preserve">предоставление национального режима / запрета, ограничения</w:t>
            </w:r>
            <w:r>
              <w:rPr>
                <w:bCs/>
                <w:sz w:val="24"/>
                <w:szCs w:val="24"/>
              </w:rPr>
              <w:t xml:space="preserve">) </w:t>
            </w:r>
            <w:r>
              <w:rPr>
                <w:bCs/>
                <w:sz w:val="24"/>
                <w:szCs w:val="24"/>
                <w:u w:val="single"/>
              </w:rPr>
              <w:t xml:space="preserve">в отношении товаров</w:t>
            </w:r>
            <w:r>
              <w:rPr>
                <w:bCs/>
                <w:sz w:val="24"/>
                <w:szCs w:val="24"/>
              </w:rPr>
              <w:t xml:space="preserve"> (подраздел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ff0000"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color w:val="ff0000"/>
                <w:sz w:val="24"/>
                <w:szCs w:val="24"/>
              </w:rPr>
              <w:t xml:space="preserve">Ô</w:t>
            </w:r>
            <w:r>
              <w:rPr>
                <w:bCs/>
                <w:color w:val="ff0000"/>
                <w:sz w:val="24"/>
                <w:szCs w:val="24"/>
              </w:rPr>
            </w:r>
            <w:r>
              <w:rPr>
                <w:bCs/>
                <w:color w:val="ff0000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Подведение итогов закупки</w:t>
            </w:r>
            <w:r>
              <w:rPr>
                <w:bCs/>
                <w:color w:val="auto"/>
                <w:sz w:val="24"/>
                <w:szCs w:val="24"/>
              </w:rPr>
              <w:br/>
            </w:r>
            <w:r>
              <w:rPr>
                <w:bCs/>
                <w:color w:val="auto"/>
                <w:sz w:val="24"/>
                <w:szCs w:val="24"/>
              </w:rPr>
              <w:t xml:space="preserve">(определение Победителя) (подраздел </w:t>
            </w:r>
            <w:r>
              <w:rPr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bCs/>
                <w:color w:val="auto"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bCs/>
                <w:color w:val="auto"/>
                <w:sz w:val="24"/>
                <w:szCs w:val="24"/>
              </w:rPr>
              <w:t xml:space="preserve">4.18</w:t>
            </w:r>
            <w:r>
              <w:rPr>
                <w:bCs/>
                <w:color w:val="auto"/>
                <w:sz w:val="24"/>
                <w:szCs w:val="24"/>
              </w:rPr>
              <w:fldChar w:fldCharType="end"/>
            </w:r>
            <w:r>
              <w:rPr>
                <w:bCs/>
                <w:color w:val="auto"/>
                <w:sz w:val="24"/>
                <w:szCs w:val="24"/>
              </w:rPr>
              <w:t xml:space="preserve">)</w:t>
            </w:r>
            <w:r>
              <w:rPr>
                <w:bCs/>
                <w:color w:val="auto"/>
                <w:sz w:val="24"/>
                <w:szCs w:val="24"/>
              </w:rPr>
            </w:r>
            <w:r>
              <w:rPr>
                <w:bCs/>
                <w:color w:val="auto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16"/>
      </w:pPr>
      <w:r/>
      <w:bookmarkStart w:id="85" w:name="_Ref125362061"/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</w:pPr>
      <w:r/>
      <w:bookmarkStart w:id="417" w:name="_Toc17"/>
      <w:r/>
      <w:bookmarkStart w:id="86" w:name="_Ref130286532"/>
      <w:r>
        <w:t xml:space="preserve">Официальное размещение Извещения и Документации о закупке</w:t>
      </w:r>
      <w:bookmarkEnd w:id="85"/>
      <w:r/>
      <w:bookmarkEnd w:id="86"/>
      <w:r/>
      <w:bookmarkEnd w:id="417"/>
      <w:r/>
      <w:r/>
    </w:p>
    <w:p>
      <w:pPr>
        <w:pStyle w:val="1112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12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12"/>
      </w:pPr>
      <w:r/>
      <w:bookmarkStart w:id="88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88"/>
      <w:r/>
      <w:r/>
    </w:p>
    <w:p>
      <w:pPr>
        <w:pStyle w:val="1112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1"/>
      </w:pPr>
      <w:r/>
      <w:bookmarkStart w:id="418" w:name="_Toc18"/>
      <w:r/>
      <w:bookmarkStart w:id="89" w:name="_Ref130281199"/>
      <w:r/>
      <w:bookmarkStart w:id="90" w:name="_Ref130394681"/>
      <w:r>
        <w:t xml:space="preserve">Подготовка заявки</w:t>
      </w:r>
      <w:bookmarkEnd w:id="89"/>
      <w:r/>
      <w:bookmarkEnd w:id="90"/>
      <w:r/>
      <w:bookmarkEnd w:id="418"/>
      <w:r/>
      <w:r/>
    </w:p>
    <w:p>
      <w:pPr>
        <w:pStyle w:val="1112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12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2"/>
      </w:pPr>
      <w:r/>
      <w:bookmarkStart w:id="92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6</w:t>
        </w:r>
        <w:r>
          <w:rPr>
            <w:rStyle w:val="1140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.</w:t>
      </w:r>
      <w:r/>
    </w:p>
    <w:p>
      <w:pPr>
        <w:pStyle w:val="1112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93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93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12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12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12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12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12"/>
      </w:pPr>
      <w:r/>
      <w:bookmarkStart w:id="94" w:name="_Ref130394854"/>
      <w:r>
        <w:t xml:space="preserve"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</w:t>
      </w:r>
      <w:r>
        <w:t xml:space="preserve">при получении заявки на часть лота и (или) </w:t>
      </w:r>
      <w:r>
        <w:t xml:space="preserve">при получении двух и более заявок от одного Участника в рамках одного лота) все поданные им заявки подлежат отклонению.</w:t>
      </w:r>
      <w:bookmarkEnd w:id="92"/>
      <w:r/>
      <w:bookmarkEnd w:id="94"/>
      <w:r/>
      <w:r/>
    </w:p>
    <w:p>
      <w:pPr>
        <w:pStyle w:val="1112"/>
      </w:pPr>
      <w:r/>
      <w:bookmarkStart w:id="95" w:name="_Ref125361260"/>
      <w:r/>
      <w:bookmarkStart w:id="96" w:name="_Ref125362071"/>
      <w:r/>
      <w:bookmarkStart w:id="97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12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12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2"/>
      </w:pPr>
      <w:r/>
      <w:bookmarkStart w:id="98" w:name="_Ref125370700"/>
      <w:r/>
      <w:bookmarkStart w:id="99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2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 (Приложение № 2)</w:t>
        </w:r>
      </w:hyperlink>
      <w:r>
        <w:t xml:space="preserve">, а также сумму налогов</w:t>
      </w:r>
      <w:r>
        <w:t xml:space="preserve"> (</w:t>
      </w:r>
      <w:r>
        <w:rPr>
          <w:rFonts w:cs="Times New Roman"/>
        </w:rPr>
        <w:t xml:space="preserve">за исключением НДС, в случае его уплаты</w:t>
      </w:r>
      <w:r>
        <w:t xml:space="preserve">)</w:t>
      </w:r>
      <w:r>
        <w:t xml:space="preserve">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</w:t>
      </w:r>
      <w:r>
        <w:t xml:space="preserve">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98"/>
      <w:r/>
      <w:bookmarkEnd w:id="99"/>
      <w:r/>
      <w:r/>
    </w:p>
    <w:p>
      <w:pPr>
        <w:pStyle w:val="1112"/>
      </w:pPr>
      <w:r/>
      <w:bookmarkStart w:id="100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.</w:t>
      </w:r>
      <w:bookmarkEnd w:id="100"/>
      <w:r/>
      <w:r/>
    </w:p>
    <w:p>
      <w:pPr>
        <w:pStyle w:val="1112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2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2"/>
      </w:pPr>
      <w:r/>
      <w:bookmarkStart w:id="101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.</w:t>
      </w:r>
      <w:bookmarkEnd w:id="101"/>
      <w:r/>
      <w:r/>
    </w:p>
    <w:p>
      <w:pPr>
        <w:pStyle w:val="1112"/>
      </w:pPr>
      <w:r/>
      <w:bookmarkStart w:id="102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102"/>
      <w:r/>
      <w:r/>
    </w:p>
    <w:p>
      <w:pPr>
        <w:pStyle w:val="1112"/>
        <w:keepNext/>
      </w:pPr>
      <w:r/>
      <w:bookmarkStart w:id="103" w:name="_Ref125370398"/>
      <w:r/>
      <w:bookmarkStart w:id="104" w:name="_Ref125714384"/>
      <w:r>
        <w:t xml:space="preserve">При подготовке заявки необходимо также учитывать требования в отношении применения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</w:t>
      </w:r>
      <w:r/>
    </w:p>
    <w:p>
      <w:pPr>
        <w:pStyle w:val="1112"/>
        <w:keepNext/>
      </w:pPr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13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13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103"/>
      <w:r/>
      <w:bookmarkEnd w:id="104"/>
      <w:r/>
      <w:r/>
    </w:p>
    <w:p>
      <w:pPr>
        <w:pStyle w:val="1112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13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13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12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13"/>
      </w:pPr>
      <w:r>
        <w:t xml:space="preserve">документы заявки</w:t>
      </w:r>
      <w:r>
        <w:t xml:space="preserve"> могут</w:t>
      </w:r>
      <w:r>
        <w:t xml:space="preserve"> предоставлят</w:t>
      </w:r>
      <w:r>
        <w:t xml:space="preserve">ь</w:t>
      </w:r>
      <w:r>
        <w:t xml:space="preserve">ся</w:t>
      </w:r>
      <w:r>
        <w:t xml:space="preserve"> как</w:t>
      </w:r>
      <w:r>
        <w:t xml:space="preserve">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;</w:t>
      </w:r>
      <w:r>
        <w:t xml:space="preserve"> </w:t>
      </w:r>
      <w:r>
        <w:t xml:space="preserve">так и</w:t>
      </w:r>
      <w:r>
        <w:t xml:space="preserve"> </w:t>
      </w:r>
      <w:r>
        <w:t xml:space="preserve">в</w:t>
      </w:r>
      <w:r>
        <w:t xml:space="preserve"> 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 Письмо о подаче оферты, а также д</w:t>
      </w:r>
      <w:r>
        <w:t xml:space="preserve">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</w:t>
      </w:r>
      <w:r>
        <w:t xml:space="preserve">которые должны быть </w:t>
      </w:r>
      <w:r>
        <w:t xml:space="preserve">предоставл</w:t>
      </w:r>
      <w:r>
        <w:t xml:space="preserve">ены</w:t>
      </w:r>
      <w:r>
        <w:t xml:space="preserve"> </w:t>
      </w:r>
      <w:r>
        <w:t xml:space="preserve">только</w:t>
      </w:r>
      <w:r>
        <w:t xml:space="preserve"> </w:t>
      </w:r>
      <w:r>
        <w:t xml:space="preserve">в</w:t>
      </w:r>
      <w:r>
        <w:t xml:space="preserve"> 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);</w:t>
      </w:r>
      <w:r/>
    </w:p>
    <w:p>
      <w:pPr>
        <w:pStyle w:val="1113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13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13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13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12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1"/>
      </w:pPr>
      <w:r/>
      <w:bookmarkStart w:id="419" w:name="_Toc19"/>
      <w:r/>
      <w:bookmarkStart w:id="105" w:name="_Ref130394205"/>
      <w:r/>
      <w:bookmarkStart w:id="106" w:name="_Ref130394785"/>
      <w:r/>
      <w:bookmarkStart w:id="107" w:name="_Ref130394802"/>
      <w:r>
        <w:t xml:space="preserve">Разъяснение Документации о закупке</w:t>
      </w:r>
      <w:bookmarkEnd w:id="95"/>
      <w:r/>
      <w:bookmarkEnd w:id="96"/>
      <w:r/>
      <w:bookmarkEnd w:id="97"/>
      <w:r/>
      <w:bookmarkEnd w:id="105"/>
      <w:r/>
      <w:bookmarkEnd w:id="106"/>
      <w:r/>
      <w:bookmarkEnd w:id="107"/>
      <w:r/>
      <w:bookmarkEnd w:id="419"/>
      <w:r/>
      <w:r/>
    </w:p>
    <w:p>
      <w:pPr>
        <w:pStyle w:val="1112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2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12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12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12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2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роекта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(Приложения № 2)</w:t>
        </w:r>
      </w:hyperlink>
      <w:r>
        <w:rPr>
          <w:rStyle w:val="1140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12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11"/>
      </w:pPr>
      <w:r/>
      <w:bookmarkStart w:id="420" w:name="_Toc20"/>
      <w:r/>
      <w:bookmarkStart w:id="109" w:name="_Ref125362076"/>
      <w:r/>
      <w:bookmarkStart w:id="110" w:name="_Ref125363891"/>
      <w:r/>
      <w:bookmarkStart w:id="111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109"/>
      <w:r/>
      <w:bookmarkEnd w:id="110"/>
      <w:r/>
      <w:bookmarkEnd w:id="111"/>
      <w:r/>
      <w:bookmarkEnd w:id="420"/>
      <w:r/>
      <w:r/>
    </w:p>
    <w:p>
      <w:pPr>
        <w:pStyle w:val="1112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12"/>
        <w:keepNext/>
      </w:pPr>
      <w:r/>
      <w:bookmarkStart w:id="113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14" w:name="_Hlk149650101"/>
      <w:r>
        <w:t xml:space="preserve">и если необходимо времени</w:t>
      </w:r>
      <w:bookmarkEnd w:id="114"/>
      <w:r>
        <w:t xml:space="preserve">)</w:t>
      </w:r>
      <w:r>
        <w:t xml:space="preserve">:</w:t>
      </w:r>
      <w:r/>
    </w:p>
    <w:p>
      <w:pPr>
        <w:pStyle w:val="1113"/>
      </w:pPr>
      <w:r>
        <w:t xml:space="preserve">рассмотрения первых частей заявок;</w:t>
      </w:r>
      <w:r/>
    </w:p>
    <w:p>
      <w:pPr>
        <w:pStyle w:val="1113"/>
      </w:pPr>
      <w:r>
        <w:t xml:space="preserve">проведения аукциона;</w:t>
      </w:r>
      <w:r/>
    </w:p>
    <w:p>
      <w:pPr>
        <w:pStyle w:val="1113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13"/>
      </w:pPr>
      <w:r>
        <w:t xml:space="preserve">подведения итогов закупки;</w:t>
      </w:r>
      <w:r/>
    </w:p>
    <w:p>
      <w:pPr>
        <w:pStyle w:val="1116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13"/>
      <w:r/>
      <w:r/>
    </w:p>
    <w:p>
      <w:pPr>
        <w:pStyle w:val="1112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</w:t>
      </w:r>
      <w:r>
        <w:t xml:space="preserve">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2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13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13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12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1"/>
      </w:pPr>
      <w:r/>
      <w:bookmarkStart w:id="421" w:name="_Toc21"/>
      <w:r/>
      <w:bookmarkStart w:id="115" w:name="_Ref125362119"/>
      <w:r>
        <w:t xml:space="preserve">Подача заявок и их прием</w:t>
      </w:r>
      <w:bookmarkEnd w:id="115"/>
      <w:r/>
      <w:bookmarkEnd w:id="421"/>
      <w:r/>
      <w:r/>
    </w:p>
    <w:p>
      <w:pPr>
        <w:pStyle w:val="1112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12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2"/>
      </w:pPr>
      <w:r>
        <w:t xml:space="preserve">Заявка должна быть подписана </w:t>
      </w:r>
      <w:bookmarkStart w:id="117" w:name="_Hlk219296949"/>
      <w:r>
        <w:t xml:space="preserve">усиленной квалифицированной </w:t>
      </w:r>
      <w:bookmarkEnd w:id="117"/>
      <w:r>
        <w:t xml:space="preserve">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12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12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2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1"/>
      </w:pPr>
      <w:r/>
      <w:bookmarkStart w:id="422" w:name="_Toc22"/>
      <w:r/>
      <w:bookmarkStart w:id="118" w:name="_Ref125362130"/>
      <w:r/>
      <w:bookmarkStart w:id="119" w:name="_Ref125362192"/>
      <w:r/>
      <w:bookmarkStart w:id="120" w:name="_Ref125363819"/>
      <w:r/>
      <w:bookmarkStart w:id="121" w:name="_Ref125365136"/>
      <w:r>
        <w:t xml:space="preserve">Изменение и отзыв заявок</w:t>
      </w:r>
      <w:bookmarkEnd w:id="118"/>
      <w:r/>
      <w:bookmarkEnd w:id="119"/>
      <w:r/>
      <w:bookmarkEnd w:id="120"/>
      <w:r/>
      <w:bookmarkEnd w:id="121"/>
      <w:r/>
      <w:bookmarkEnd w:id="422"/>
      <w:r/>
      <w:r/>
    </w:p>
    <w:p>
      <w:pPr>
        <w:pStyle w:val="1112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12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3" w:name="_Toc23"/>
      <w:r/>
      <w:bookmarkStart w:id="123" w:name="_Ref132816188"/>
      <w:r>
        <w:t xml:space="preserve">Открытие доступа к первым частям заявок</w:t>
      </w:r>
      <w:bookmarkEnd w:id="123"/>
      <w:r/>
      <w:bookmarkEnd w:id="423"/>
      <w:r/>
      <w:r/>
    </w:p>
    <w:p>
      <w:pPr>
        <w:pStyle w:val="1112"/>
      </w:pPr>
      <w:r/>
      <w:bookmarkStart w:id="125" w:name="_Hlk149310876"/>
      <w:r/>
      <w:bookmarkStart w:id="126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25"/>
      <w:r/>
      <w:r/>
    </w:p>
    <w:p>
      <w:pPr>
        <w:pStyle w:val="1112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26"/>
      <w:r/>
      <w:r/>
    </w:p>
    <w:p>
      <w:pPr>
        <w:pStyle w:val="1111"/>
      </w:pPr>
      <w:r/>
      <w:bookmarkStart w:id="424" w:name="_Toc24"/>
      <w:r/>
      <w:bookmarkStart w:id="127" w:name="_Ref125362364"/>
      <w:r/>
      <w:bookmarkStart w:id="128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27"/>
      <w:r/>
      <w:bookmarkEnd w:id="128"/>
      <w:r/>
      <w:bookmarkEnd w:id="424"/>
      <w:r/>
      <w:r/>
    </w:p>
    <w:p>
      <w:pPr>
        <w:pStyle w:val="1112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</w:t>
        </w:r>
        <w:r>
          <w:rPr>
            <w:rStyle w:val="1140"/>
          </w:rPr>
          <w:t xml:space="preserve">тборочным критериям</w:t>
        </w:r>
        <w:r>
          <w:rPr>
            <w:rStyle w:val="1140"/>
          </w:rPr>
          <w:t xml:space="preserve"> рассмотрения заявок (Приложение № </w:t>
        </w:r>
        <w:r>
          <w:rPr>
            <w:rStyle w:val="1140"/>
          </w:rPr>
          <w:t xml:space="preserve">7</w:t>
        </w:r>
        <w:r>
          <w:rPr>
            <w:rStyle w:val="1140"/>
          </w:rPr>
          <w:t xml:space="preserve">)</w:t>
        </w:r>
      </w:hyperlink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12"/>
        <w:keepNext/>
      </w:pPr>
      <w:r/>
      <w:bookmarkStart w:id="130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30"/>
      <w:r/>
      <w:r/>
    </w:p>
    <w:p>
      <w:pPr>
        <w:pStyle w:val="1113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24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продукции;</w:t>
      </w:r>
      <w:r/>
    </w:p>
    <w:p>
      <w:pPr>
        <w:pStyle w:val="1113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13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2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24"/>
        </w:rPr>
        <w:footnoteReference w:id="5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13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5" w:name="_Toc25"/>
      <w:r/>
      <w:bookmarkStart w:id="131" w:name="_Ref149649965"/>
      <w:r/>
      <w:bookmarkStart w:id="132" w:name="_Ref149650136"/>
      <w:r>
        <w:t xml:space="preserve">Проведение аукциона</w:t>
      </w:r>
      <w:bookmarkEnd w:id="131"/>
      <w:r/>
      <w:bookmarkEnd w:id="132"/>
      <w:r/>
      <w:bookmarkEnd w:id="425"/>
      <w:r/>
      <w:r/>
    </w:p>
    <w:p>
      <w:pPr>
        <w:pStyle w:val="1112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12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12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12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34" w:name="_Hlk149642663"/>
      <w:r>
        <w:t xml:space="preserve">Снижение стоимости заявки на величину, меньше «шага аукциона», не допускается.</w:t>
      </w:r>
      <w:bookmarkEnd w:id="134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12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12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12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12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12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12"/>
      </w:pPr>
      <w:r/>
      <w:bookmarkStart w:id="135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35"/>
      <w:r/>
      <w:r/>
    </w:p>
    <w:p>
      <w:pPr>
        <w:pStyle w:val="1112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6" w:name="_Toc26"/>
      <w:r/>
      <w:bookmarkStart w:id="136" w:name="_Ref132801184"/>
      <w:r>
        <w:t xml:space="preserve">Открытие доступа ко вторым частям заявок</w:t>
      </w:r>
      <w:bookmarkEnd w:id="136"/>
      <w:r/>
      <w:bookmarkEnd w:id="426"/>
      <w:r/>
      <w:r/>
    </w:p>
    <w:p>
      <w:pPr>
        <w:pStyle w:val="1112"/>
      </w:pPr>
      <w:r/>
      <w:bookmarkStart w:id="138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38"/>
      <w:r/>
      <w:r/>
    </w:p>
    <w:p>
      <w:pPr>
        <w:pStyle w:val="1112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11"/>
      </w:pPr>
      <w:r/>
      <w:bookmarkStart w:id="427" w:name="_Toc27"/>
      <w:r/>
      <w:bookmarkStart w:id="139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39"/>
      <w:r/>
      <w:bookmarkEnd w:id="427"/>
      <w:r/>
      <w:r/>
    </w:p>
    <w:p>
      <w:pPr>
        <w:pStyle w:val="1112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12"/>
        <w:keepNext/>
      </w:pPr>
      <w:r/>
      <w:bookmarkStart w:id="141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41"/>
      <w:r/>
      <w:r/>
    </w:p>
    <w:p>
      <w:pPr>
        <w:pStyle w:val="1113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заявки, в том числе по 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13"/>
      </w:pPr>
      <w:r>
        <w:t xml:space="preserve">несоответствие Участников требованиям Документации о закупке;</w:t>
      </w:r>
      <w:r/>
    </w:p>
    <w:p>
      <w:pPr>
        <w:pStyle w:val="1113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13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24"/>
        </w:rPr>
        <w:footnoteReference w:id="6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13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8" w:name="_Toc28"/>
      <w:r/>
      <w:bookmarkStart w:id="142" w:name="_Ref149656136"/>
      <w:r>
        <w:t xml:space="preserve">Открытие доступа к ценовым предложениям</w:t>
      </w:r>
      <w:bookmarkEnd w:id="142"/>
      <w:r/>
      <w:bookmarkEnd w:id="428"/>
      <w:r/>
      <w:r/>
    </w:p>
    <w:p>
      <w:pPr>
        <w:pStyle w:val="1112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11"/>
      </w:pPr>
      <w:r/>
      <w:bookmarkStart w:id="429" w:name="_Toc29"/>
      <w:r/>
      <w:bookmarkStart w:id="144" w:name="_Ref149656148"/>
      <w:r>
        <w:t xml:space="preserve">Рассмотрение ценовых предложений (отборочная стадия)</w:t>
      </w:r>
      <w:bookmarkEnd w:id="144"/>
      <w:r/>
      <w:bookmarkEnd w:id="429"/>
      <w:r/>
      <w:r/>
    </w:p>
    <w:p>
      <w:pPr>
        <w:pStyle w:val="1112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</w:t>
      </w:r>
      <w:r>
        <w:t xml:space="preserve">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12"/>
        <w:keepNext/>
      </w:pPr>
      <w:r/>
      <w:bookmarkStart w:id="146" w:name="_Ref224835330"/>
      <w:r>
        <w:t xml:space="preserve">При выявлении в рамках рассмотрения ценовых предложений наличия арифметических ошибок, в том числе:</w:t>
      </w:r>
      <w:bookmarkEnd w:id="146"/>
      <w:r/>
      <w:r/>
    </w:p>
    <w:p>
      <w:pPr>
        <w:pStyle w:val="1113"/>
      </w:pPr>
      <w:r>
        <w:t xml:space="preserve">в результате суммирования единичных расценок;</w:t>
      </w:r>
      <w:r/>
    </w:p>
    <w:p>
      <w:pPr>
        <w:pStyle w:val="1113"/>
      </w:pPr>
      <w:r>
        <w:t xml:space="preserve">в итогах умножения единичных расценок на объем продукции;</w:t>
      </w:r>
      <w:r/>
    </w:p>
    <w:p>
      <w:pPr>
        <w:pStyle w:val="1113"/>
      </w:pPr>
      <w:r>
        <w:t xml:space="preserve">в вычислении суммы НДС и итоговой стоимости заявки с учетом НДС;</w:t>
      </w:r>
      <w:r/>
    </w:p>
    <w:p>
      <w:pPr>
        <w:pStyle w:val="1113"/>
      </w:pPr>
      <w:r>
        <w:t xml:space="preserve">иных внутренних противоречий в составе заявки,</w:t>
      </w:r>
      <w:r/>
    </w:p>
    <w:p>
      <w:pPr>
        <w:pStyle w:val="1116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12"/>
        <w:keepNext/>
      </w:pPr>
      <w:r/>
      <w:bookmarkStart w:id="147" w:name="_Ref224835414"/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</w:t>
      </w:r>
      <w:r>
        <w:t xml:space="preserve">им</w:t>
      </w:r>
      <w:r>
        <w:t xml:space="preserve"> </w:t>
      </w:r>
      <w:r>
        <w:t xml:space="preserve">основани</w:t>
      </w:r>
      <w:r>
        <w:t xml:space="preserve">ям</w:t>
      </w:r>
      <w:r>
        <w:t xml:space="preserve">:</w:t>
      </w:r>
      <w:bookmarkEnd w:id="147"/>
      <w:r/>
      <w:r/>
    </w:p>
    <w:p>
      <w:pPr>
        <w:pStyle w:val="1113"/>
        <w:keepNext/>
      </w:pP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</w:t>
      </w:r>
      <w:r>
        <w:t xml:space="preserve"> (за исключением ошибок, предусмотренных пунктом </w:t>
      </w:r>
      <w:r>
        <w:fldChar w:fldCharType="begin"/>
      </w:r>
      <w:r>
        <w:instrText xml:space="preserve"> REF _Ref224835330 \r \h </w:instrText>
      </w:r>
      <w:r>
        <w:fldChar w:fldCharType="separate"/>
      </w:r>
      <w:r>
        <w:t xml:space="preserve">4.14.2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/>
      <w:bookmarkStart w:id="148" w:name="_Hlk209699544"/>
      <w:r>
        <w:t xml:space="preserve">несоответствие ценового предложения Участника </w:t>
      </w:r>
      <w:r>
        <w:t xml:space="preserve">(котор</w:t>
      </w:r>
      <w:r>
        <w:t xml:space="preserve">ое</w:t>
      </w:r>
      <w:r>
        <w:t xml:space="preserve"> могл</w:t>
      </w:r>
      <w:r>
        <w:t xml:space="preserve">о</w:t>
      </w:r>
      <w:r>
        <w:t xml:space="preserve"> быть выявлен</w:t>
      </w:r>
      <w:r>
        <w:t xml:space="preserve">о</w:t>
      </w:r>
      <w:r>
        <w:t xml:space="preserve"> только </w:t>
      </w:r>
      <w:r>
        <w:t xml:space="preserve">на</w:t>
      </w:r>
      <w:r>
        <w:t xml:space="preserve"> данн</w:t>
      </w:r>
      <w:r>
        <w:t xml:space="preserve">ом</w:t>
      </w:r>
      <w:r>
        <w:t xml:space="preserve"> этап</w:t>
      </w:r>
      <w:r>
        <w:t xml:space="preserve">е</w:t>
      </w:r>
      <w:r>
        <w:t xml:space="preserve"> закупки) законодательству о</w:t>
      </w:r>
      <w:r>
        <w:t xml:space="preserve"> </w:t>
      </w:r>
      <w:r>
        <w:t xml:space="preserve">национальном режиме (подраздел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bookmarkEnd w:id="148"/>
      <w:r/>
      <w:r/>
    </w:p>
    <w:p>
      <w:pPr>
        <w:pStyle w:val="1112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11"/>
      </w:pPr>
      <w:r/>
      <w:bookmarkStart w:id="430" w:name="_Toc30"/>
      <w:r/>
      <w:bookmarkStart w:id="149" w:name="_Ref125362381"/>
      <w:r/>
      <w:bookmarkStart w:id="150" w:name="_Ref125362425"/>
      <w:r/>
      <w:bookmarkStart w:id="151" w:name="_Ref125362464"/>
      <w:r/>
      <w:bookmarkStart w:id="152" w:name="_Ref125362610"/>
      <w:r>
        <w:t xml:space="preserve">Дополнительные запросы разъяснений заявок</w:t>
      </w:r>
      <w:bookmarkEnd w:id="149"/>
      <w:r/>
      <w:bookmarkEnd w:id="150"/>
      <w:r/>
      <w:bookmarkEnd w:id="151"/>
      <w:r/>
      <w:bookmarkEnd w:id="152"/>
      <w:r/>
      <w:bookmarkEnd w:id="430"/>
      <w:r/>
      <w:r/>
    </w:p>
    <w:p>
      <w:pPr>
        <w:pStyle w:val="1112"/>
      </w:pPr>
      <w:r/>
      <w:bookmarkStart w:id="154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54"/>
      <w:r/>
      <w:r/>
    </w:p>
    <w:p>
      <w:pPr>
        <w:pStyle w:val="1113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14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14"/>
      </w:pPr>
      <w:r/>
      <w:bookmarkStart w:id="155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55"/>
      <w:r>
        <w:t xml:space="preserve">;</w:t>
      </w:r>
      <w:r/>
    </w:p>
    <w:p>
      <w:pPr>
        <w:pStyle w:val="1114"/>
      </w:pPr>
      <w:r>
        <w:t xml:space="preserve">соответствия заявки требованиям Документации о закупке в части характеристик предлагаемой продукции</w:t>
      </w:r>
      <w:r>
        <w:t xml:space="preserve">, страны происхождения товара и</w:t>
      </w:r>
      <w:r>
        <w:t xml:space="preserve"> </w:t>
      </w:r>
      <w:r>
        <w:t xml:space="preserve">(или) страны регистрации Участника (в целях исполнения требований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)),</w:t>
      </w:r>
      <w:r>
        <w:t xml:space="preserve">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13"/>
      </w:pPr>
      <w:r/>
      <w:bookmarkStart w:id="156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13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24"/>
        </w:rPr>
        <w:footnoteReference w:id="7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56"/>
      <w:r/>
      <w:r/>
    </w:p>
    <w:p>
      <w:pPr>
        <w:pStyle w:val="1112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2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12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12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31" w:name="_Toc31"/>
      <w:r/>
      <w:bookmarkStart w:id="157" w:name="_Ref125362626"/>
      <w:r/>
      <w:bookmarkStart w:id="158" w:name="_Ref125365335"/>
      <w:r/>
      <w:bookmarkStart w:id="159" w:name="_Ref125365519"/>
      <w:r/>
      <w:bookmarkStart w:id="160" w:name="_Ref125366534"/>
      <w:r/>
      <w:bookmarkStart w:id="161" w:name="_Ref125369041"/>
      <w:r/>
      <w:bookmarkStart w:id="162" w:name="_Ref125369308"/>
      <w:r>
        <w:t xml:space="preserve">Оценка и сопоставление заявок</w:t>
      </w:r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431"/>
      <w:r/>
      <w:r/>
    </w:p>
    <w:p>
      <w:pPr>
        <w:pStyle w:val="1112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40"/>
          </w:rPr>
          <w:t xml:space="preserve">Порядком и критериями оценки и сопоставления заявок (Приложение № </w:t>
        </w:r>
        <w:r>
          <w:rPr>
            <w:rStyle w:val="1140"/>
          </w:rPr>
          <w:t xml:space="preserve">8</w:t>
        </w:r>
        <w:r>
          <w:rPr>
            <w:rStyle w:val="1140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13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13"/>
      </w:pPr>
      <w:r>
        <w:t xml:space="preserve">в едином базисе без учета НДС.</w:t>
      </w:r>
      <w:r/>
    </w:p>
    <w:p>
      <w:pPr>
        <w:pStyle w:val="1112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24"/>
        </w:rPr>
        <w:footnoteReference w:id="8"/>
      </w:r>
      <w:r>
        <w:t xml:space="preserve">.</w:t>
      </w:r>
      <w:r/>
    </w:p>
    <w:p>
      <w:pPr>
        <w:pStyle w:val="1112"/>
      </w:pPr>
      <w:r/>
      <w:bookmarkStart w:id="169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1"/>
      </w:pPr>
      <w:r/>
      <w:bookmarkStart w:id="432" w:name="_Toc32"/>
      <w:r/>
      <w:bookmarkStart w:id="170" w:name="_Ref186183588"/>
      <w:r/>
      <w:bookmarkStart w:id="171" w:name="_Ref149648944"/>
      <w:r/>
      <w:bookmarkStart w:id="178" w:name="_Ref132816300"/>
      <w:r>
        <w:t xml:space="preserve">Применение </w:t>
      </w:r>
      <w:r>
        <w:t xml:space="preserve">законодательства о национальном режиме</w:t>
      </w:r>
      <w:bookmarkEnd w:id="170"/>
      <w:r/>
      <w:bookmarkEnd w:id="171"/>
      <w:r/>
      <w:bookmarkEnd w:id="432"/>
      <w:r/>
      <w:r/>
    </w:p>
    <w:p>
      <w:pPr>
        <w:pStyle w:val="1112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2"/>
      </w:pPr>
      <w:r/>
      <w:bookmarkStart w:id="179" w:name="_Ref195007394"/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bookmarkEnd w:id="179"/>
      <w:r/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продукции, если была подана и по р</w:t>
      </w:r>
      <w:r>
        <w:t xml:space="preserve">езультатам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24"/>
        </w:rPr>
        <w:footnoteReference w:id="9"/>
      </w:r>
      <w:r>
        <w:t xml:space="preserve"> на 15% (пятнадцать процентов) итоговой стоимости </w:t>
      </w:r>
      <w:bookmarkStart w:id="180" w:name="_Hlk207810557"/>
      <w:r>
        <w:t xml:space="preserve">(цены Договора) поданной и допущенной </w:t>
      </w:r>
      <w:r>
        <w:t xml:space="preserve">заявки с российской продукцией (</w:t>
      </w:r>
      <w:r>
        <w:t xml:space="preserve">на </w:t>
      </w:r>
      <w:r>
        <w:t xml:space="preserve">поставку товара российского происхождения </w:t>
      </w:r>
      <w:r>
        <w:t xml:space="preserve">(в том числе поставляемых при выполнении закупаемых работ, оказании закупаемых услуг)</w:t>
      </w:r>
      <w:r>
        <w:t xml:space="preserve">)</w:t>
      </w:r>
      <w:r>
        <w:t xml:space="preserve">, </w:t>
      </w:r>
      <w:r>
        <w:t xml:space="preserve">при условии наличия допущенной заявки с иностранной продукцией (на поставку товара иностранного происхождения)</w:t>
      </w:r>
      <w:bookmarkEnd w:id="180"/>
      <w:r>
        <w:t xml:space="preserve">.</w:t>
      </w:r>
      <w:r/>
    </w:p>
    <w:p>
      <w:pPr>
        <w:pStyle w:val="1112"/>
      </w:pPr>
      <w:r/>
      <w:bookmarkStart w:id="181" w:name="_Ref195007400"/>
      <w:r/>
      <w:bookmarkStart w:id="182" w:name="_Hlk207810620"/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</w:t>
      </w:r>
      <w:r>
        <w:t xml:space="preserve">что Заказчик исполняет нормы в части минимальной обязательной доли закупок товаров российского происхождения, то не допускается заключение Договора на поставку товара иностранного происхождения,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bookmarkEnd w:id="181"/>
      <w:r/>
      <w:r/>
    </w:p>
    <w:p>
      <w:pPr>
        <w:pStyle w:val="1112"/>
      </w:pPr>
      <w:r>
        <w:t xml:space="preserve">Состав и требования </w:t>
      </w:r>
      <w:r>
        <w:t xml:space="preserve">к сведениям и</w:t>
      </w:r>
      <w:r>
        <w:t xml:space="preserve"> </w:t>
      </w:r>
      <w:r>
        <w:t xml:space="preserve">(или)</w:t>
      </w:r>
      <w:r>
        <w:t xml:space="preserve"> и перечню документов</w:t>
      </w:r>
      <w:r>
        <w:t xml:space="preserve"> </w:t>
      </w:r>
      <w:r>
        <w:t xml:space="preserve">(их предоставлению Участником)</w:t>
      </w:r>
      <w:r>
        <w:t xml:space="preserve">, которые подтверждают страну происхождения товара </w:t>
      </w:r>
      <w:r>
        <w:t xml:space="preserve">(страны ЕАЭС, включая Россию)</w:t>
      </w:r>
      <w:r>
        <w:t xml:space="preserve">, </w:t>
      </w:r>
      <w:r>
        <w:t xml:space="preserve">в целях </w:t>
      </w:r>
      <w:r>
        <w:t xml:space="preserve">выполнения требований законодательства о национальном режиме (пункты</w:t>
      </w:r>
      <w:r>
        <w:t xml:space="preserve"> </w:t>
      </w:r>
      <w:r>
        <w:fldChar w:fldCharType="begin"/>
      </w:r>
      <w:r>
        <w:instrText xml:space="preserve"> REF _Ref195007394 \r \h </w:instrText>
      </w:r>
      <w:r>
        <w:fldChar w:fldCharType="separate"/>
      </w:r>
      <w:r>
        <w:t xml:space="preserve">4.17.2</w:t>
      </w:r>
      <w:r>
        <w:fldChar w:fldCharType="end"/>
      </w:r>
      <w:r>
        <w:t xml:space="preserve"> </w:t>
      </w:r>
      <w:r>
        <w:t xml:space="preserve">–</w:t>
      </w:r>
      <w:r>
        <w:t xml:space="preserve"> </w:t>
      </w:r>
      <w:r>
        <w:fldChar w:fldCharType="begin"/>
      </w:r>
      <w:r>
        <w:instrText xml:space="preserve"> REF _Ref195007400 \r \h </w:instrText>
      </w:r>
      <w:r>
        <w:fldChar w:fldCharType="separate"/>
      </w:r>
      <w:r>
        <w:t xml:space="preserve">4.17.5</w:t>
      </w:r>
      <w:r>
        <w:fldChar w:fldCharType="end"/>
      </w:r>
      <w:r>
        <w:t xml:space="preserve">),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, а также в Технических требованиях (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Приложение № 1</w:t>
        </w:r>
      </w:hyperlink>
      <w:r>
        <w:t xml:space="preserve">) при исполнении Заказчиком норм в части минимальной обязательной доли закупок товаров российского происхождения</w:t>
      </w:r>
      <w:r>
        <w:t xml:space="preserve">.</w:t>
      </w:r>
      <w:r/>
    </w:p>
    <w:p>
      <w:pPr>
        <w:pStyle w:val="1112"/>
        <w:keepNext/>
      </w:pPr>
      <w:r>
        <w:t xml:space="preserve">Товар </w:t>
      </w:r>
      <w:r>
        <w:t xml:space="preserve">приравнивается к товарам, </w:t>
      </w:r>
      <w:r>
        <w:t xml:space="preserve">происходящим из иностранного государства (не являющегося государством – членом ЕАЭС), если:</w:t>
      </w:r>
      <w:r/>
    </w:p>
    <w:p>
      <w:pPr>
        <w:pStyle w:val="1113"/>
      </w:pPr>
      <w:r>
        <w:t xml:space="preserve">в отношении такого товара Участником не предоставлены в составе заявки требуемые Документацией о закупке подтверждающие сведения и (или) документы;</w:t>
      </w:r>
      <w:r/>
    </w:p>
    <w:p>
      <w:pPr>
        <w:pStyle w:val="1113"/>
      </w:pPr>
      <w:r>
        <w:t xml:space="preserve">в соответствии с реестровой записью из реестра российской промышленной продукции количество указанных баллов за выполнение (ос</w:t>
      </w:r>
      <w:r>
        <w:t xml:space="preserve">воение) на территории Российской Федерации соответствующих операций (условий) составляет меньшее значение по отношению к количеству баллов, определенных ПП 719 (в случае, если для такого товара ПП 719 установлены требования о совокупном количестве баллов).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 (в отношении позиции №</w:t>
      </w:r>
      <w:r>
        <w:t xml:space="preserve"> </w:t>
      </w:r>
      <w:r>
        <w:t xml:space="preserve">146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1 к ПП</w:t>
      </w:r>
      <w:r>
        <w:t xml:space="preserve"> </w:t>
      </w:r>
      <w:r>
        <w:t xml:space="preserve">1875), то</w:t>
      </w:r>
      <w:r>
        <w:t xml:space="preserve"> </w:t>
      </w:r>
      <w:r>
        <w:t xml:space="preserve">заявка, содержащая предложение о поставке российского программного обеспечения, реестровая запись о котором в реестре российского программного </w:t>
      </w:r>
      <w:r>
        <w:t xml:space="preserve">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325, приравнивается к заявке, содержащей предложение о поставке программного обеспечения, происходящего из иностранного государства (не</w:t>
      </w:r>
      <w:r>
        <w:t xml:space="preserve"> </w:t>
      </w:r>
      <w:r>
        <w:t xml:space="preserve">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программного обеспечения, реестровая за</w:t>
      </w:r>
      <w:r>
        <w:t xml:space="preserve">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 (в отношении позиций №№</w:t>
      </w:r>
      <w:r>
        <w:t xml:space="preserve"> </w:t>
      </w:r>
      <w:r>
        <w:t xml:space="preserve">195, 197</w:t>
      </w:r>
      <w:r>
        <w:t xml:space="preserve"> </w:t>
      </w:r>
      <w:r>
        <w:t xml:space="preserve">–</w:t>
      </w:r>
      <w:r>
        <w:t xml:space="preserve"> </w:t>
      </w:r>
      <w:r>
        <w:t xml:space="preserve">199, 203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2 к</w:t>
      </w:r>
      <w:r>
        <w:t xml:space="preserve"> </w:t>
      </w:r>
      <w:r>
        <w:t xml:space="preserve">ПП 1875), то заявка, содержащая предложение о поставке российской радиоэлектронной продукции, но не являющейся в соответствии с ПП</w:t>
      </w:r>
      <w:r>
        <w:t xml:space="preserve"> </w:t>
      </w:r>
      <w:r>
        <w:t xml:space="preserve">719 радиоэлектронной продукцией первого уровня, приравнивается к заявке, содержащей предложение о поставке радиоэлектронной продукции из</w:t>
      </w:r>
      <w:r>
        <w:t xml:space="preserve"> </w:t>
      </w:r>
      <w:r>
        <w:t xml:space="preserve">иностранного государств</w:t>
      </w:r>
      <w:r>
        <w:t xml:space="preserve">а (не 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радиоэлектронной продукции российского происхождения, являющейся в</w:t>
      </w:r>
      <w:r>
        <w:t xml:space="preserve"> </w:t>
      </w:r>
      <w:r>
        <w:t xml:space="preserve">соответствии с ПП</w:t>
      </w:r>
      <w:r>
        <w:t xml:space="preserve"> </w:t>
      </w:r>
      <w:r>
        <w:t xml:space="preserve">719 радиоэлектронной продукцией первого уровня.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запрета закупки иностранных товаров, выполнения работ и</w:t>
      </w:r>
      <w:r>
        <w:t xml:space="preserve"> </w:t>
      </w:r>
      <w:r>
        <w:t xml:space="preserve">(или) оказания услуг иностранным лицом, то не допускается при исполнении такого Договора: замена закупаемого това</w:t>
      </w:r>
      <w:r>
        <w:t xml:space="preserve">ра на товар, происходящий из иностранного государства, в отношении которого в закупке был установлен запрет; перемена подрядчика (исполнителя) (в случае, если эта перемена допускается гражданским законодательством), с которым заключен указанный Договор, на</w:t>
      </w:r>
      <w:r>
        <w:t xml:space="preserve"> </w:t>
      </w:r>
      <w:r>
        <w:t xml:space="preserve">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ограничения закупки иностранных товаров, то не допускается при</w:t>
      </w:r>
      <w:r>
        <w:t xml:space="preserve"> </w:t>
      </w:r>
      <w:r>
        <w:t xml:space="preserve">исполнении такого Договора замена закупаемого товара на товар, происходящий из иностранного государства, в отношении которого в закупке было установлено ограничение, если Договор предусматривает поставку товара российского происхождения.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преимущество в отношении товара российского происхождения, то</w:t>
      </w:r>
      <w:r>
        <w:t xml:space="preserve"> </w:t>
      </w:r>
      <w:r>
        <w:t xml:space="preserve">не</w:t>
      </w:r>
      <w:r>
        <w:t xml:space="preserve"> </w:t>
      </w:r>
      <w:r>
        <w:t xml:space="preserve">допускается при исполнении такого Договора замена закупаемого товара на товар, происходящий из иностранного государства, в отношении которого в</w:t>
      </w:r>
      <w:r>
        <w:t xml:space="preserve"> </w:t>
      </w:r>
      <w:r>
        <w:t xml:space="preserve">закупке было установлено преимущество, если Договор предусматривает поставку товара российского происхождения</w:t>
      </w:r>
      <w:bookmarkEnd w:id="182"/>
      <w:r>
        <w:t xml:space="preserve">.</w:t>
      </w:r>
      <w:r/>
    </w:p>
    <w:p>
      <w:pPr>
        <w:pStyle w:val="1111"/>
      </w:pPr>
      <w:r/>
      <w:bookmarkStart w:id="433" w:name="_Toc33"/>
      <w:r/>
      <w:bookmarkStart w:id="185" w:name="_Ref125362658"/>
      <w:r/>
      <w:bookmarkStart w:id="186" w:name="_Ref125366091"/>
      <w:r/>
      <w:bookmarkStart w:id="187" w:name="_Ref125367242"/>
      <w:r>
        <w:t xml:space="preserve">Подведение итогов закупки (определение Победителя)</w:t>
      </w:r>
      <w:bookmarkEnd w:id="185"/>
      <w:r/>
      <w:bookmarkEnd w:id="186"/>
      <w:r/>
      <w:bookmarkEnd w:id="187"/>
      <w:r/>
      <w:bookmarkEnd w:id="433"/>
      <w:r/>
      <w:r/>
    </w:p>
    <w:p>
      <w:pPr>
        <w:pStyle w:val="1112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2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12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 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 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12"/>
        <w:keepNext/>
      </w:pPr>
      <w:r/>
      <w:bookmarkStart w:id="18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24"/>
        </w:rPr>
        <w:footnoteReference w:id="10"/>
      </w:r>
      <w:r>
        <w:t xml:space="preserve">:</w:t>
      </w:r>
      <w:bookmarkEnd w:id="189"/>
      <w:r/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13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</w:t>
      </w:r>
      <w:r>
        <w:t xml:space="preserve">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13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13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16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2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12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12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1"/>
      </w:pPr>
      <w:r/>
      <w:bookmarkStart w:id="434" w:name="_Toc34"/>
      <w:r/>
      <w:bookmarkStart w:id="190" w:name="_Ref125364149"/>
      <w:r/>
      <w:bookmarkStart w:id="191" w:name="_Ref125364187"/>
      <w:r/>
      <w:bookmarkStart w:id="192" w:name="_Ref125365305"/>
      <w:r/>
      <w:bookmarkStart w:id="193" w:name="_Ref125365570"/>
      <w:r/>
      <w:bookmarkStart w:id="194" w:name="_Ref125366631"/>
      <w:r/>
      <w:bookmarkStart w:id="195" w:name="_Ref125366796"/>
      <w:r/>
      <w:bookmarkEnd w:id="169"/>
      <w:r/>
      <w:bookmarkEnd w:id="178"/>
      <w:r>
        <w:t xml:space="preserve">Признание закупки несостоявшейся</w:t>
      </w:r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/>
      <w:bookmarkEnd w:id="434"/>
      <w:r/>
      <w:r/>
    </w:p>
    <w:p>
      <w:pPr>
        <w:pStyle w:val="1112"/>
        <w:keepNext/>
      </w:pPr>
      <w:r/>
      <w:bookmarkStart w:id="197" w:name="_Ref214290100"/>
      <w:r>
        <w:t xml:space="preserve">Закупка признается несостоявшейся в следующих случаях:</w:t>
      </w:r>
      <w:bookmarkEnd w:id="197"/>
      <w:r/>
      <w:r/>
    </w:p>
    <w:p>
      <w:pPr>
        <w:pStyle w:val="1113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13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13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13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13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</w:t>
      </w:r>
      <w:r>
        <w:t xml:space="preserve">;</w:t>
      </w:r>
      <w:r/>
    </w:p>
    <w:p>
      <w:pPr>
        <w:pStyle w:val="1113"/>
      </w:pPr>
      <w:r/>
      <w:bookmarkStart w:id="198" w:name="_Hlk219297033"/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r>
        <w:t xml:space="preserve"> (подраздел</w:t>
      </w:r>
      <w:bookmarkEnd w:id="198"/>
      <w:r>
        <w:t xml:space="preserve"> </w:t>
      </w:r>
      <w:r>
        <w:fldChar w:fldCharType="begin"/>
      </w:r>
      <w:r>
        <w:instrText xml:space="preserve"> REF _Ref125367068 \r \h </w:instrText>
      </w:r>
      <w:r>
        <w:fldChar w:fldCharType="separate"/>
      </w:r>
      <w:r>
        <w:t xml:space="preserve">5.3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12"/>
        <w:keepNext/>
      </w:pPr>
      <w:r>
        <w:t xml:space="preserve">В случае признания закупки несостоявшейся (с учетом условий, предусмотренных Положением о закупке):</w:t>
      </w:r>
      <w:r/>
    </w:p>
    <w:p>
      <w:pPr>
        <w:pStyle w:val="1113"/>
      </w:pPr>
      <w:r/>
      <w:bookmarkStart w:id="199" w:name="_Hlk214281841"/>
      <w:r>
        <w:t xml:space="preserve">если поступила только 1 (одна) заявка от одного Участника (с учетом отозванных</w:t>
      </w:r>
      <w:r>
        <w:t xml:space="preserve"> </w:t>
      </w:r>
      <w:r>
        <w:t xml:space="preserve">Участник</w:t>
      </w:r>
      <w:r>
        <w:t xml:space="preserve">ами</w:t>
      </w:r>
      <w:r>
        <w:t xml:space="preserve"> заявок), либо по результатам рассмотрения заявок</w:t>
      </w:r>
      <w:r>
        <w:t xml:space="preserve"> (частей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 </w:t>
      </w:r>
      <w:r>
        <w:t xml:space="preserve">принято решение о признании только 1 (одной) заявки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 – Заказчик заключает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 </w:t>
      </w:r>
      <w:r>
        <w:t xml:space="preserve">(при наличии экономической целесообразности и/или при условии отсутствия времени на повторное проведение закупки).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экономической целесообразности и/или при наличии времени на повторное проведение закупки, Заказчик </w:t>
      </w:r>
      <w:r>
        <w:rPr>
          <w:sz w:val="26"/>
          <w:szCs w:val="26"/>
        </w:rPr>
        <w:t xml:space="preserve">принимает</w:t>
      </w:r>
      <w:r>
        <w:rPr>
          <w:sz w:val="26"/>
          <w:szCs w:val="26"/>
        </w:rPr>
        <w:t xml:space="preserve"> одно из следующих решений в порядке приоритета: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повторное проведение закупки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в том числе с возможностью снятия признака закупки только среди субъектов МСП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1701" w:firstLine="0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заключения договора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продукции, при наличии утверждения таких изменений;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необходимость исполнения предписаний антимонопольного органа;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дополнительного повторного проведения закупки (при отсутствии заявок, соответствующих установленным требованиям, по результатам повторного проведения закупки);</w:t>
      </w:r>
      <w:bookmarkEnd w:id="199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3"/>
      </w:pPr>
      <w:r>
        <w:t xml:space="preserve">если не поступило ни одной заявки</w:t>
      </w:r>
      <w:r>
        <w:t xml:space="preserve"> (ни одного ценового предложения </w:t>
      </w:r>
      <w:r>
        <w:t xml:space="preserve">по результатам проведения процедуры аукциона</w:t>
      </w:r>
      <w:r>
        <w:t xml:space="preserve">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</w:t>
      </w:r>
      <w:r>
        <w:t xml:space="preserve">, либо по результатам рассмотрения заявок (</w:t>
      </w:r>
      <w:r>
        <w:t xml:space="preserve">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), принято решение о признании их не соответствующими требованиям </w:t>
      </w:r>
      <w:r>
        <w:t xml:space="preserve">Д</w:t>
      </w:r>
      <w:r>
        <w:t xml:space="preserve">окументации о закупке</w:t>
      </w:r>
      <w:r>
        <w:t xml:space="preserve">, </w:t>
      </w:r>
      <w:bookmarkStart w:id="200" w:name="_Hlk219297054"/>
      <w:r>
        <w:t xml:space="preserve">либо </w:t>
      </w:r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bookmarkEnd w:id="200"/>
      <w:r>
        <w:t xml:space="preserve"> </w:t>
      </w:r>
      <w:r>
        <w:t xml:space="preserve">– Заказчик проводит повторную закупку (</w:t>
      </w:r>
      <w:r>
        <w:rPr>
          <w:szCs w:val="26"/>
        </w:rPr>
        <w:t xml:space="preserve">в том числе с возможностью снятия признака закупки только среди субъектов МСП</w:t>
      </w:r>
      <w:r>
        <w:t xml:space="preserve">)</w:t>
      </w:r>
      <w:r>
        <w:t xml:space="preserve">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Заказчик вправе отказаться от проведения повторной закупки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отсутствии заявок, соответствующих установленным требованиям, по результатам повторного проведения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1"/>
      </w:pPr>
      <w:r/>
      <w:bookmarkStart w:id="435" w:name="_Toc35"/>
      <w:r/>
      <w:bookmarkStart w:id="205" w:name="_Ref126141962"/>
      <w:r/>
      <w:bookmarkStart w:id="206" w:name="_Ref132816134"/>
      <w:r/>
      <w:bookmarkStart w:id="207" w:name="_Ref132816141"/>
      <w:r>
        <w:t xml:space="preserve">Отказ от проведения закупки</w:t>
      </w:r>
      <w:bookmarkEnd w:id="205"/>
      <w:r>
        <w:t xml:space="preserve"> (отмена закупки)</w:t>
      </w:r>
      <w:bookmarkEnd w:id="206"/>
      <w:r/>
      <w:bookmarkEnd w:id="207"/>
      <w:r/>
      <w:bookmarkEnd w:id="435"/>
      <w:r/>
      <w:r/>
    </w:p>
    <w:p>
      <w:pPr>
        <w:pStyle w:val="1112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2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2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11"/>
      </w:pPr>
      <w:r/>
      <w:bookmarkStart w:id="436" w:name="_Toc36"/>
      <w:r/>
      <w:bookmarkStart w:id="209" w:name="_Ref130455226"/>
      <w:r/>
      <w:bookmarkStart w:id="211" w:name="_Ref130225422"/>
      <w:r/>
      <w:bookmarkStart w:id="212" w:name="_Ref125361212"/>
      <w:r/>
      <w:bookmarkStart w:id="213" w:name="_Ref125362671"/>
      <w:r/>
      <w:bookmarkStart w:id="214" w:name="_Ref125363439"/>
      <w:r/>
      <w:bookmarkStart w:id="215" w:name="_Ref125366769"/>
      <w:r/>
      <w:bookmarkStart w:id="216" w:name="_Ref125367083"/>
      <w:r/>
      <w:bookmarkStart w:id="217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209"/>
      <w:r/>
      <w:bookmarkEnd w:id="436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12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2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2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24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12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</w:t>
      </w:r>
      <w:r>
        <w:t xml:space="preserve">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12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12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12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13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4.21.8(л)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13"/>
      </w:pPr>
      <w:r/>
      <w:bookmarkStart w:id="218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18"/>
      <w:r/>
      <w:r/>
    </w:p>
    <w:p>
      <w:pPr>
        <w:pStyle w:val="1113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13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12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12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2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12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12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2"/>
        <w:keepNext/>
      </w:pPr>
      <w:r/>
      <w:bookmarkStart w:id="219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19"/>
      <w:r/>
      <w:r/>
    </w:p>
    <w:p>
      <w:pPr>
        <w:pStyle w:val="1113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</w:t>
        </w:r>
      </w:hyperlink>
      <w:r>
        <w:t xml:space="preserve">).</w:t>
      </w:r>
      <w:r/>
    </w:p>
    <w:p>
      <w:pPr>
        <w:pStyle w:val="1112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13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13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13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13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13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2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1"/>
      </w:pPr>
      <w:r/>
      <w:bookmarkStart w:id="437" w:name="_Toc37"/>
      <w:r/>
      <w:bookmarkStart w:id="220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211"/>
      <w:r/>
      <w:bookmarkEnd w:id="220"/>
      <w:r/>
      <w:bookmarkEnd w:id="437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2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12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2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12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13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13"/>
      </w:pPr>
      <w:r>
        <w:t xml:space="preserve">Коммерческое предложение (форма 3), Техническое предложение (форма 4),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4</w:t>
      </w:r>
      <w:r>
        <w:t xml:space="preserve">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</w:t>
      </w:r>
      <w:r>
        <w:t xml:space="preserve"> </w:t>
      </w:r>
      <w:r>
        <w:t xml:space="preserve">лотов с указанием номера и названия лота.</w:t>
      </w:r>
      <w:r/>
    </w:p>
    <w:p>
      <w:pPr>
        <w:pStyle w:val="1112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10"/>
      </w:pPr>
      <w:r/>
      <w:bookmarkStart w:id="438" w:name="_Toc38"/>
      <w:r/>
      <w:bookmarkStart w:id="226" w:name="_Ref126142429"/>
      <w:r/>
      <w:bookmarkStart w:id="227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212"/>
      <w:r/>
      <w:bookmarkEnd w:id="213"/>
      <w:r/>
      <w:bookmarkEnd w:id="214"/>
      <w:r/>
      <w:bookmarkEnd w:id="215"/>
      <w:r/>
      <w:bookmarkEnd w:id="216"/>
      <w:r/>
      <w:bookmarkEnd w:id="217"/>
      <w:r/>
      <w:bookmarkEnd w:id="226"/>
      <w:r/>
      <w:bookmarkEnd w:id="227"/>
      <w:r/>
      <w:bookmarkEnd w:id="438"/>
      <w:r/>
      <w:r/>
    </w:p>
    <w:p>
      <w:pPr>
        <w:pStyle w:val="1111"/>
      </w:pPr>
      <w:r/>
      <w:bookmarkStart w:id="439" w:name="_Toc39"/>
      <w:r/>
      <w:bookmarkStart w:id="230" w:name="_Ref125366947"/>
      <w:r/>
      <w:bookmarkStart w:id="231" w:name="_Ref125368755"/>
      <w:r>
        <w:t xml:space="preserve">Общие положения</w:t>
      </w:r>
      <w:bookmarkEnd w:id="439"/>
      <w:r/>
      <w:r/>
    </w:p>
    <w:p>
      <w:pPr>
        <w:pStyle w:val="1112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1"/>
      </w:pPr>
      <w:r/>
      <w:bookmarkStart w:id="440" w:name="_Toc40"/>
      <w:r/>
      <w:bookmarkStart w:id="232" w:name="_Ref138341423"/>
      <w:r>
        <w:t xml:space="preserve">Заключение Договора</w:t>
      </w:r>
      <w:bookmarkEnd w:id="230"/>
      <w:r/>
      <w:bookmarkEnd w:id="231"/>
      <w:r/>
      <w:bookmarkEnd w:id="232"/>
      <w:r/>
      <w:bookmarkEnd w:id="440"/>
      <w:r/>
      <w:r/>
    </w:p>
    <w:p>
      <w:pPr>
        <w:pStyle w:val="1112"/>
      </w:pPr>
      <w:r/>
      <w:bookmarkStart w:id="234" w:name="_Ref125362935"/>
      <w:r/>
      <w:bookmarkStart w:id="235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34"/>
      <w:r/>
      <w:bookmarkEnd w:id="235"/>
      <w:r/>
      <w:r/>
    </w:p>
    <w:p>
      <w:pPr>
        <w:pStyle w:val="1112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режиме.</w:t>
      </w:r>
      <w:r/>
    </w:p>
    <w:p>
      <w:pPr>
        <w:pStyle w:val="1112"/>
      </w:pPr>
      <w:r/>
      <w:bookmarkStart w:id="236" w:name="_Hlk207813671"/>
      <w:r>
        <w:t xml:space="preserve">При осуществлении закупки товара (в том числе поставляемого Заказчику при</w:t>
      </w:r>
      <w:r>
        <w:t xml:space="preserve"> </w:t>
      </w:r>
      <w:r>
        <w:t xml:space="preserve">выполнении работ, оказании услуг) в Договор при его заключении включается информация о стране происхождения товара.</w:t>
      </w:r>
      <w:r/>
    </w:p>
    <w:p>
      <w:pPr>
        <w:pStyle w:val="1112"/>
      </w:pPr>
      <w:r/>
      <w:bookmarkStart w:id="237" w:name="_Ref125363464"/>
      <w:r>
        <w:t xml:space="preserve">В целях </w:t>
      </w:r>
      <w:r>
        <w:rPr>
          <w:rFonts w:eastAsia="Calibri" w:cs="Times New Roman"/>
        </w:rPr>
        <w:t xml:space="preserve">обеспечения дополнительной прозрачности финансово-хозяйственной деятельности сторон при</w:t>
      </w:r>
      <w:r>
        <w:t xml:space="preserve"> заключения Договора </w:t>
      </w:r>
      <w:r>
        <w:rPr>
          <w:rFonts w:eastAsia="Calibri" w:cs="Times New Roman"/>
        </w:rPr>
        <w:t xml:space="preserve">в части отсутствия возможного конфликта интересов между Заказчиком и</w:t>
      </w:r>
      <w:r>
        <w:t xml:space="preserve"> Участником, признанным Победителем, последний обязан направить в адрес Заказчика Справку «Сведения о цепочке собственников, включая бенефициаров (в том числе конечных)», по форме в соответствии с 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, с приложением подтверждающих документов согласно перечню, установленному в Приложении 1 к указанной справке, одним из способов (на выбор)</w:t>
      </w:r>
      <w:r>
        <w:t xml:space="preserve">:</w:t>
      </w:r>
      <w:bookmarkEnd w:id="237"/>
      <w:r/>
      <w:r/>
    </w:p>
    <w:p>
      <w:pPr>
        <w:pStyle w:val="1113"/>
      </w:pPr>
      <w:r>
        <w:t xml:space="preserve">в бумажной форме: по адресу, определенному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место подачи документов в отношении цепочки собственников, включая конечных бенефициаров (в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</w:t>
      </w:r>
      <w:r>
        <w:t xml:space="preserve"> </w:t>
      </w:r>
      <w:r>
        <w:t xml:space="preserve">результатам закупки). Требуемые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собственников»;</w:t>
      </w:r>
      <w:r/>
    </w:p>
    <w:p>
      <w:pPr>
        <w:pStyle w:val="1113"/>
        <w:rPr>
          <w:color w:val="auto"/>
        </w:rPr>
      </w:pPr>
      <w:r>
        <w:rPr>
          <w:color w:val="auto"/>
        </w:rPr>
        <w:t xml:space="preserve">в электронной форме: через специально созданную на корпоративном сайте ПАО «РусГидро» учетную запись Победителя </w:t>
      </w:r>
      <w:r>
        <w:rPr>
          <w:rFonts w:eastAsia="Calibri" w:cs="Times New Roman"/>
          <w:color w:val="auto"/>
        </w:rPr>
        <w:t xml:space="preserve">в «Личном кабинете контрагента»</w:t>
      </w:r>
      <w:r>
        <w:rPr>
          <w:color w:val="auto"/>
        </w:rPr>
        <w:t xml:space="preserve"> (в срок не позднее 3 (трех) рабочих дней с даты получения уведомления о необходимости предоставить информацию о </w:t>
      </w:r>
      <w:r>
        <w:rPr>
          <w:rFonts w:eastAsia="Calibri" w:cs="Times New Roman"/>
          <w:color w:val="auto"/>
        </w:rPr>
        <w:t xml:space="preserve">цепочке собственников, включая бенефициаров (в том числе конечных)</w:t>
      </w:r>
      <w:r>
        <w:rPr>
          <w:color w:val="auto"/>
        </w:rPr>
        <w:t xml:space="preserve">. Уведомление (со ссылкой на учетную запись) направляется на указанный в заявке Победителя (в Анкете Участника (форма 5) (</w:t>
      </w:r>
      <w:hyperlink w:tooltip="#Прил04_ФормыЗаявки" w:anchor="Прил04_ФормыЗаявки" w:history="1">
        <w:r>
          <w:rPr>
            <w:rStyle w:val="1140"/>
            <w:color w:val="auto"/>
          </w:rPr>
          <w:t xml:space="preserve">Приложения № 4</w:t>
        </w:r>
      </w:hyperlink>
      <w:r>
        <w:rPr>
          <w:color w:val="auto"/>
        </w:rPr>
        <w:t xml:space="preserve">)) адрес электронной почты ответственного лица)</w:t>
      </w:r>
      <w:bookmarkEnd w:id="236"/>
      <w:r>
        <w:rPr>
          <w:color w:val="auto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1112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bookmarkStart w:id="238" w:name="_Hlk207813750"/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bookmarkEnd w:id="238"/>
      <w:r>
        <w:t xml:space="preserve">)</w:t>
      </w:r>
      <w:r>
        <w:t xml:space="preserve"> </w:t>
      </w:r>
      <w:r>
        <w:t xml:space="preserve">Заверение об</w:t>
      </w:r>
      <w:r>
        <w:t xml:space="preserve"> 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.</w:t>
      </w:r>
      <w:r/>
    </w:p>
    <w:p>
      <w:pPr>
        <w:pStyle w:val="1112"/>
        <w:keepNext/>
      </w:pPr>
      <w:r/>
      <w:bookmarkStart w:id="23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:</w:t>
      </w:r>
      <w:bookmarkEnd w:id="239"/>
      <w:r/>
      <w:r/>
    </w:p>
    <w:p>
      <w:pPr>
        <w:pStyle w:val="1113"/>
        <w:keepNext/>
      </w:pPr>
      <w:r>
        <w:t xml:space="preserve">для юридического лица:</w:t>
      </w:r>
      <w:r/>
    </w:p>
    <w:p>
      <w:pPr>
        <w:pStyle w:val="1114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14"/>
      </w:pPr>
      <w:r/>
      <w:bookmarkStart w:id="24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40"/>
      <w:r/>
      <w:r/>
    </w:p>
    <w:p>
      <w:pPr>
        <w:pStyle w:val="1114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13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13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</w:t>
      </w:r>
      <w:r>
        <w:t xml:space="preserve">.</w:t>
      </w:r>
      <w:r/>
    </w:p>
    <w:p>
      <w:pPr>
        <w:pStyle w:val="1112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12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12"/>
        <w:keepNext/>
      </w:pPr>
      <w:r/>
      <w:bookmarkStart w:id="241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41"/>
      <w:r/>
      <w:r/>
    </w:p>
    <w:p>
      <w:pPr>
        <w:pStyle w:val="1113"/>
      </w:pPr>
      <w:r>
        <w:t xml:space="preserve">итоговый протокол по результатам закупки;</w:t>
      </w:r>
      <w:r/>
    </w:p>
    <w:p>
      <w:pPr>
        <w:pStyle w:val="1113"/>
      </w:pPr>
      <w:r>
        <w:t xml:space="preserve">Извещение и Документация о закупке со всеми изменениями;</w:t>
      </w:r>
      <w:r/>
    </w:p>
    <w:p>
      <w:pPr>
        <w:pStyle w:val="1113"/>
      </w:pPr>
      <w:r>
        <w:t xml:space="preserve">заявка Победителя со всеми дополнениями и разъяснениями.</w:t>
      </w:r>
      <w:r/>
    </w:p>
    <w:p>
      <w:pPr>
        <w:pStyle w:val="1112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12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12"/>
      </w:pPr>
      <w:r/>
      <w:bookmarkStart w:id="242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42"/>
      <w:r/>
      <w:r/>
    </w:p>
    <w:p>
      <w:pPr>
        <w:pStyle w:val="1112"/>
      </w:pPr>
      <w:r/>
      <w:bookmarkStart w:id="243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44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44"/>
      <w:r>
        <w:t xml:space="preserve">.</w:t>
      </w:r>
      <w:bookmarkEnd w:id="243"/>
      <w:r/>
      <w:r/>
    </w:p>
    <w:p>
      <w:pPr>
        <w:pStyle w:val="1112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11"/>
      </w:pPr>
      <w:r/>
      <w:bookmarkStart w:id="441" w:name="_Toc41"/>
      <w:r/>
      <w:bookmarkStart w:id="245" w:name="_Ref125367068"/>
      <w:r>
        <w:t xml:space="preserve">Уклонение Победителя от заключения Договора</w:t>
      </w:r>
      <w:bookmarkEnd w:id="245"/>
      <w:r/>
      <w:bookmarkEnd w:id="441"/>
      <w:r/>
      <w:r/>
    </w:p>
    <w:p>
      <w:pPr>
        <w:pStyle w:val="1112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13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5.2.9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13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5</w:t>
        </w:r>
      </w:hyperlink>
      <w:r>
        <w:t xml:space="preserve">;</w:t>
      </w:r>
      <w:r/>
    </w:p>
    <w:p>
      <w:pPr>
        <w:pStyle w:val="1113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Приложения 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 </w:t>
        </w:r>
        <w:r>
          <w:rPr>
            <w:rStyle w:val="1140"/>
          </w:rPr>
          <w:t xml:space="preserve">– </w:t>
        </w:r>
        <w:r>
          <w:rPr>
            <w:rStyle w:val="1140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13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13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16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10"/>
      </w:pPr>
      <w:r/>
      <w:bookmarkStart w:id="442" w:name="_Toc42"/>
      <w:r/>
      <w:bookmarkStart w:id="247" w:name="_Ref125363016"/>
      <w:r/>
      <w:bookmarkStart w:id="248" w:name="_Ref125363023"/>
      <w:r/>
      <w:bookmarkStart w:id="249" w:name="_Ref125363034"/>
      <w:r/>
      <w:bookmarkStart w:id="250" w:name="_Ref125363600"/>
      <w:r/>
      <w:bookmarkStart w:id="251" w:name="_Ref125363752"/>
      <w:r/>
      <w:bookmarkStart w:id="252" w:name="_Ref125364088"/>
      <w:r/>
      <w:bookmarkStart w:id="253" w:name="_Ref125364201"/>
      <w:r/>
      <w:bookmarkStart w:id="254" w:name="_Ref125370732"/>
      <w:r/>
      <w:bookmarkStart w:id="255" w:name="_Ref125370741"/>
      <w:r/>
      <w:bookmarkStart w:id="256" w:name="_Ref125370746"/>
      <w:r/>
      <w:bookmarkStart w:id="257" w:name="_Ref125370750"/>
      <w:r/>
      <w:bookmarkStart w:id="258" w:name="_Ref125370843"/>
      <w:r/>
      <w:bookmarkStart w:id="259" w:name="Прил01_ТехТребования"/>
      <w:r>
        <w:t xml:space="preserve">Приложение № 1 – Технические требования</w:t>
      </w:r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442"/>
      <w:r/>
      <w:r/>
    </w:p>
    <w:p>
      <w:pPr>
        <w:pStyle w:val="1111"/>
      </w:pPr>
      <w:r/>
      <w:bookmarkStart w:id="443" w:name="_Toc43"/>
      <w:r>
        <w:t xml:space="preserve">Пояснения к Техническим требованиям</w:t>
      </w:r>
      <w:bookmarkEnd w:id="443"/>
      <w:r/>
      <w:r/>
    </w:p>
    <w:p>
      <w:pPr>
        <w:pStyle w:val="1112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10"/>
      </w:pPr>
      <w:r/>
      <w:bookmarkStart w:id="444" w:name="_Toc44"/>
      <w:r/>
      <w:bookmarkStart w:id="262" w:name="_Ref125361746"/>
      <w:r/>
      <w:bookmarkStart w:id="263" w:name="_Ref125363040"/>
      <w:r/>
      <w:bookmarkStart w:id="264" w:name="_Ref125363605"/>
      <w:r/>
      <w:bookmarkStart w:id="265" w:name="_Ref125363759"/>
      <w:r/>
      <w:bookmarkStart w:id="266" w:name="_Ref125364081"/>
      <w:r/>
      <w:bookmarkStart w:id="267" w:name="_Ref125364206"/>
      <w:r/>
      <w:bookmarkStart w:id="268" w:name="_Ref125370754"/>
      <w:r/>
      <w:bookmarkStart w:id="269" w:name="Прил02_ПроектДоговора"/>
      <w:r>
        <w:t xml:space="preserve">Приложение № 2 – Проект договора</w:t>
      </w:r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69"/>
      <w:r/>
      <w:bookmarkEnd w:id="444"/>
      <w:r/>
      <w:r/>
    </w:p>
    <w:p>
      <w:pPr>
        <w:pStyle w:val="1111"/>
      </w:pPr>
      <w:r/>
      <w:bookmarkStart w:id="445" w:name="_Toc45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45"/>
      <w:r/>
      <w:r/>
    </w:p>
    <w:p>
      <w:pPr>
        <w:pStyle w:val="1112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12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12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5.2.12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12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16"/>
        <w:jc w:val="center"/>
      </w:pPr>
      <w:r/>
      <w:bookmarkStart w:id="272" w:name="_MON_1736255517"/>
      <w:r/>
      <w:bookmarkEnd w:id="272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19175" cy="657860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19174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80.25pt;height:51.8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46" w:name="_Toc46"/>
      <w:r/>
      <w:bookmarkStart w:id="273" w:name="_Ref125361494"/>
      <w:r/>
      <w:bookmarkStart w:id="274" w:name="_Ref125361908"/>
      <w:r/>
      <w:bookmarkStart w:id="275" w:name="_Ref125365476"/>
      <w:r/>
      <w:bookmarkStart w:id="276" w:name="_Ref125370013"/>
      <w:r/>
      <w:bookmarkStart w:id="277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446"/>
      <w:r/>
      <w:r/>
    </w:p>
    <w:p>
      <w:pPr>
        <w:pStyle w:val="1111"/>
      </w:pPr>
      <w:r/>
      <w:bookmarkStart w:id="447" w:name="_Toc47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47"/>
      <w:r/>
      <w:r/>
    </w:p>
    <w:p>
      <w:pPr>
        <w:pStyle w:val="1112"/>
      </w:pPr>
      <w:r/>
      <w:bookmarkStart w:id="280" w:name="_Hlk125628168"/>
      <w:r>
        <w:t xml:space="preserve">Чтобы претендовать на победу в закупке и получение права заключить Договор с Заказчиком, Участник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80"/>
      <w:r/>
      <w:r/>
    </w:p>
    <w:p>
      <w:pPr>
        <w:pStyle w:val="1111"/>
        <w:spacing w:after="120"/>
      </w:pPr>
      <w:r/>
      <w:bookmarkStart w:id="448" w:name="_Toc48"/>
      <w:r/>
      <w:bookmarkStart w:id="281" w:name="_Ref125361435"/>
      <w:r/>
      <w:bookmarkStart w:id="282" w:name="_Ref125361590"/>
      <w:r/>
      <w:bookmarkStart w:id="283" w:name="_Ref125361617"/>
      <w:r/>
      <w:bookmarkStart w:id="284" w:name="_Ref125361832"/>
      <w:r/>
      <w:bookmarkStart w:id="285" w:name="_Ref125361846"/>
      <w:r/>
      <w:bookmarkStart w:id="286" w:name="_Ref125361926"/>
      <w:r/>
      <w:bookmarkStart w:id="287" w:name="_Ref125366879"/>
      <w:r/>
      <w:bookmarkStart w:id="288" w:name="_Ref125368812"/>
      <w:r/>
      <w:bookmarkStart w:id="289" w:name="_Ref125368895"/>
      <w:r/>
      <w:bookmarkStart w:id="290" w:name="_Ref125369088"/>
      <w:r/>
      <w:bookmarkStart w:id="291" w:name="_Ref125370058"/>
      <w:r/>
      <w:bookmarkStart w:id="292" w:name="_Ref125370064"/>
      <w:r/>
      <w:bookmarkStart w:id="293" w:name="_Ref125370071"/>
      <w:r>
        <w:t xml:space="preserve">Обязательные требования</w:t>
      </w:r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448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5" w:name="_Ref125552433"/>
            <w:r/>
            <w:bookmarkEnd w:id="29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</w:t>
            </w:r>
            <w:r>
              <w:t xml:space="preserve">Portable Document Format (</w:t>
            </w:r>
            <w:r>
              <w:t xml:space="preserve">*.pdf)</w:t>
            </w:r>
            <w:r>
              <w:t xml:space="preserve">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</w:t>
            </w:r>
            <w:r>
              <w:t xml:space="preserve">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1</w:t>
              </w:r>
              <w:r>
                <w:rPr>
                  <w:rStyle w:val="1140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</w:t>
            </w:r>
            <w:r>
              <w:t xml:space="preserve"> </w:t>
            </w:r>
            <w:r/>
          </w:p>
          <w:p>
            <w:pPr>
              <w:pStyle w:val="1116"/>
              <w:ind w:left="284"/>
            </w:pPr>
            <w:r>
              <w:t xml:space="preserve">Если Участник в соответствии с законодательством формирует отчетность по формам ОКУД 0503730, 0503721 (и</w:t>
            </w:r>
            <w:r>
              <w:t xml:space="preserve"> (или)</w:t>
            </w:r>
            <w:r>
              <w:t xml:space="preserve"> освобожден от предоставления дополнительного экземпляра отчетности для размещения на официальном сайте ФНС России</w:t>
            </w:r>
            <w:r>
              <w:t xml:space="preserve">) </w:t>
            </w:r>
            <w:r>
              <w:t xml:space="preserve">– оценка его </w:t>
            </w:r>
            <w:r>
              <w:t xml:space="preserve">финансового состояния производится на основании представленных вместе с Заявкой на аккредитацию: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электронной копии бухгалтерско</w:t>
            </w:r>
            <w:r>
              <w:t xml:space="preserve">й (финансовой)</w:t>
            </w:r>
            <w:r>
              <w:t xml:space="preserve"> </w:t>
            </w:r>
            <w:r>
              <w:t xml:space="preserve">отчетности </w:t>
            </w:r>
            <w:r>
              <w:t xml:space="preserve">по формам ОКУД 0503730, 0503721 за последний завершенный </w:t>
            </w:r>
            <w:r>
              <w:t xml:space="preserve">и предшествующий ему </w:t>
            </w:r>
            <w:r>
              <w:t xml:space="preserve">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(по форме, представленной в </w:t>
            </w:r>
            <w:hyperlink w:tooltip="#Прил11_Данные_бухотчетность" w:anchor="Прил11_Данные_бухотчетность" w:history="1">
              <w:r>
                <w:rPr>
                  <w:rStyle w:val="1126"/>
                </w:rPr>
                <w:t xml:space="preserve">Приложении № 11</w:t>
              </w:r>
            </w:hyperlink>
            <w:r>
              <w:t xml:space="preserve">).</w:t>
            </w:r>
            <w:r/>
          </w:p>
          <w:p>
            <w:pPr>
              <w:pStyle w:val="1116"/>
              <w:ind w:left="284"/>
            </w:pPr>
            <w:r>
              <w:t xml:space="preserve">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6" w:name="_Ref132893662"/>
            <w:r/>
            <w:bookmarkEnd w:id="29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7" w:name="_Ref139029906"/>
            <w:r/>
            <w:bookmarkEnd w:id="29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24"/>
              </w:rPr>
              <w:footnoteReference w:id="12"/>
            </w:r>
            <w:r>
              <w:t xml:space="preserve">, а также </w:t>
            </w:r>
            <w:r>
              <w:t xml:space="preserve">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24"/>
              </w:rPr>
              <w:footnoteReference w:id="13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</w:t>
            </w:r>
            <w:r>
              <w:rPr>
                <w:i/>
                <w:iCs/>
              </w:rPr>
              <w:t xml:space="preserve">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8" w:name="_Ref186184202"/>
            <w:r/>
            <w:bookmarkEnd w:id="29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 Коммерческом предложении (форма</w:t>
            </w:r>
            <w:r>
              <w:t xml:space="preserve"> </w:t>
            </w:r>
            <w:r>
              <w:t xml:space="preserve">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</w:t>
            </w:r>
            <w:r>
              <w:t xml:space="preserve">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9" w:name="_Ref186184207"/>
            <w:r/>
            <w:bookmarkEnd w:id="29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</w:t>
            </w:r>
            <w:r>
              <w:t xml:space="preserve">не должен являться иностранным лицом, при наличии заявки, соответствующей всем требованиям Документации о закупке, поданной от российского лица: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 Коммерческом предложении (форма 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1"/>
        <w:spacing w:after="120"/>
      </w:pPr>
      <w:r/>
      <w:bookmarkStart w:id="449" w:name="_Toc49"/>
      <w:r/>
      <w:bookmarkStart w:id="300" w:name="_Ref125361442"/>
      <w:r/>
      <w:bookmarkStart w:id="301" w:name="_Ref125361633"/>
      <w:r/>
      <w:bookmarkStart w:id="302" w:name="_Ref125361671"/>
      <w:r/>
      <w:bookmarkStart w:id="303" w:name="_Ref125361869"/>
      <w:r/>
      <w:bookmarkStart w:id="304" w:name="_Ref125361937"/>
      <w:r/>
      <w:bookmarkStart w:id="305" w:name="_Ref125365459"/>
      <w:r/>
      <w:bookmarkStart w:id="306" w:name="_Ref125367521"/>
      <w:r/>
      <w:bookmarkStart w:id="307" w:name="_Ref125367539"/>
      <w:r/>
      <w:bookmarkStart w:id="308" w:name="_Ref125368818"/>
      <w:r/>
      <w:bookmarkStart w:id="309" w:name="_Ref125368901"/>
      <w:r/>
      <w:bookmarkStart w:id="310" w:name="_Ref125368916"/>
      <w:r/>
      <w:bookmarkStart w:id="311" w:name="_Ref125369099"/>
      <w:r/>
      <w:bookmarkStart w:id="312" w:name="_Ref125370079"/>
      <w:r/>
      <w:bookmarkStart w:id="313" w:name="_Ref125709153"/>
      <w:r/>
      <w:bookmarkStart w:id="314" w:name="_Ref125709250"/>
      <w:r/>
      <w:bookmarkStart w:id="315" w:name="_Ref125709401"/>
      <w:r/>
      <w:bookmarkStart w:id="316" w:name="_Ref125709888"/>
      <w:r>
        <w:t xml:space="preserve">Специальные требования</w:t>
      </w:r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/>
      <w:bookmarkEnd w:id="316"/>
      <w:r/>
      <w:bookmarkEnd w:id="449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1"/>
        <w:spacing w:after="120"/>
      </w:pPr>
      <w:r/>
      <w:bookmarkStart w:id="450" w:name="_Toc50"/>
      <w:r/>
      <w:bookmarkStart w:id="321" w:name="_Ref125361823"/>
      <w:r/>
      <w:bookmarkStart w:id="322" w:name="_Ref125362031"/>
      <w:r/>
      <w:bookmarkStart w:id="323" w:name="_Ref125369117"/>
      <w:r/>
      <w:bookmarkStart w:id="324" w:name="_Ref125370173"/>
      <w:r/>
      <w:bookmarkStart w:id="325" w:name="_Ref125370180"/>
      <w:r/>
      <w:bookmarkStart w:id="326" w:name="_Ref125370209"/>
      <w:r/>
      <w:bookmarkStart w:id="327" w:name="_Ref125709777"/>
      <w:r/>
      <w:bookmarkStart w:id="328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21"/>
      <w:r/>
      <w:bookmarkEnd w:id="322"/>
      <w:r/>
      <w:bookmarkEnd w:id="323"/>
      <w:r/>
      <w:bookmarkEnd w:id="324"/>
      <w:r/>
      <w:bookmarkEnd w:id="325"/>
      <w:r/>
      <w:bookmarkEnd w:id="326"/>
      <w:r/>
      <w:bookmarkEnd w:id="327"/>
      <w:r/>
      <w:bookmarkEnd w:id="328"/>
      <w:r/>
      <w:bookmarkEnd w:id="450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0" w:name="_Ref125370187"/>
            <w:r/>
            <w:bookmarkEnd w:id="33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1" w:name="_Ref125370193"/>
            <w:r/>
            <w:bookmarkEnd w:id="33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2" w:name="_Ref125553847"/>
            <w:r/>
            <w:bookmarkEnd w:id="33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51" w:name="_Toc51"/>
      <w:r/>
      <w:bookmarkStart w:id="333" w:name="Прил04_ФормыЗаявки"/>
      <w:r/>
      <w:bookmarkStart w:id="335" w:name="_Ref125362865"/>
      <w:r/>
      <w:bookmarkStart w:id="336" w:name="_Ref125362900"/>
      <w:r/>
      <w:bookmarkEnd w:id="333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51"/>
      <w:r/>
      <w:r/>
    </w:p>
    <w:p>
      <w:pPr>
        <w:pStyle w:val="1111"/>
      </w:pPr>
      <w:r/>
      <w:bookmarkStart w:id="452" w:name="_Toc52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52"/>
      <w:r/>
      <w:r/>
    </w:p>
    <w:p>
      <w:pPr>
        <w:pStyle w:val="1112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>
        <w:t xml:space="preserve"> </w:t>
      </w:r>
      <w:bookmarkStart w:id="338" w:name="_Hlk207814348"/>
      <w:r>
        <w:t xml:space="preserve">Участник при подготовке заявк</w:t>
      </w:r>
      <w:r>
        <w:t xml:space="preserve">и</w:t>
      </w:r>
      <w:r>
        <w:t xml:space="preserve"> обязан придерживаться установленных форм документов</w:t>
      </w:r>
      <w:bookmarkEnd w:id="338"/>
      <w:r>
        <w:t xml:space="preserve">.</w:t>
      </w:r>
      <w:r/>
    </w:p>
    <w:p>
      <w:pPr>
        <w:pStyle w:val="1110"/>
      </w:pPr>
      <w:r/>
      <w:bookmarkStart w:id="453" w:name="_Toc53"/>
      <w:r/>
      <w:bookmarkStart w:id="339" w:name="Прил05_ФормыПобедителя"/>
      <w:r/>
      <w:bookmarkEnd w:id="33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53"/>
      <w:r/>
      <w:r/>
    </w:p>
    <w:p>
      <w:pPr>
        <w:pStyle w:val="1111"/>
      </w:pPr>
      <w:r/>
      <w:bookmarkStart w:id="454" w:name="_Toc54"/>
      <w:r>
        <w:t xml:space="preserve">Пояснения к Образцам форм документов, предоставляемых Победителем</w:t>
      </w:r>
      <w:bookmarkEnd w:id="454"/>
      <w:r/>
      <w:r/>
    </w:p>
    <w:p>
      <w:pPr>
        <w:pStyle w:val="1112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55" w:name="_Toc55"/>
      <w:r/>
      <w:bookmarkStart w:id="34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42"/>
      <w:r/>
      <w:bookmarkEnd w:id="455"/>
      <w:r/>
      <w:r/>
    </w:p>
    <w:p>
      <w:pPr>
        <w:pStyle w:val="1112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2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</w:pPr>
      <w:r/>
      <w:bookmarkStart w:id="344" w:name="_Hlk207814364"/>
      <w:r/>
      <w:bookmarkStart w:id="345" w:name="_MON_1805621314"/>
      <w:r/>
      <w:bookmarkEnd w:id="3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147445" cy="734060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14744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90.35pt;height:57.80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bookmarkEnd w:id="344"/>
      <w:r/>
      <w:r/>
    </w:p>
    <w:p>
      <w:pPr>
        <w:pStyle w:val="1111"/>
      </w:pPr>
      <w:r/>
      <w:bookmarkStart w:id="456" w:name="_Toc56"/>
      <w:r/>
      <w:bookmarkStart w:id="346" w:name="_Ref130395475"/>
      <w:r>
        <w:t xml:space="preserve">Форма «Заверение об обстоятельствах»</w:t>
      </w:r>
      <w:bookmarkEnd w:id="346"/>
      <w:r/>
      <w:bookmarkEnd w:id="456"/>
      <w:r/>
      <w:r/>
    </w:p>
    <w:p>
      <w:pPr>
        <w:pStyle w:val="1112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2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12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2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  <w:spacing w:after="120"/>
      </w:pPr>
      <w:r/>
      <w:bookmarkStart w:id="348" w:name="_MON_1741074184"/>
      <w:r/>
      <w:bookmarkEnd w:id="348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19175" cy="657860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19174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80.25pt;height:51.80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/>
    </w:p>
    <w:p>
      <w:pPr>
        <w:pStyle w:val="1110"/>
      </w:pPr>
      <w:r/>
      <w:bookmarkStart w:id="457" w:name="_Toc57"/>
      <w:r/>
      <w:bookmarkStart w:id="349" w:name="Прил06_СоставЗаявки"/>
      <w:r/>
      <w:bookmarkEnd w:id="349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35"/>
      <w:r/>
      <w:bookmarkEnd w:id="336"/>
      <w:r/>
      <w:bookmarkEnd w:id="457"/>
      <w:r/>
      <w:r/>
    </w:p>
    <w:p>
      <w:pPr>
        <w:pStyle w:val="1111"/>
      </w:pPr>
      <w:r/>
      <w:bookmarkStart w:id="458" w:name="_Toc58"/>
      <w:r>
        <w:t xml:space="preserve">Состав заявки</w:t>
      </w:r>
      <w:bookmarkEnd w:id="458"/>
      <w:r/>
      <w:r/>
    </w:p>
    <w:p>
      <w:pPr>
        <w:pStyle w:val="1112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</w:t>
      </w:r>
      <w:bookmarkStart w:id="352" w:name="_Hlk207814797"/>
      <w:r>
        <w:t xml:space="preserve">по установленным формам и в соответствии с инструкциями, приведенными</w:t>
      </w:r>
      <w:bookmarkEnd w:id="352"/>
      <w:r>
        <w:t xml:space="preserve"> в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</w:t>
        </w:r>
        <w:r>
          <w:rPr>
            <w:rStyle w:val="1140"/>
          </w:rPr>
          <w:t xml:space="preserve">и</w:t>
        </w:r>
        <w:r>
          <w:rPr>
            <w:rStyle w:val="1140"/>
          </w:rPr>
          <w:t xml:space="preserve">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3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сведений, позволяющих каким-либо образом идентифицировать генеральн</w:t>
            </w:r>
            <w:r>
              <w:rPr>
                <w:i/>
                <w:iCs/>
              </w:rPr>
              <w:t xml:space="preserve">ого</w:t>
            </w:r>
            <w:r>
              <w:rPr>
                <w:i/>
                <w:iCs/>
              </w:rPr>
              <w:t xml:space="preserve"> подрядчик</w:t>
            </w:r>
            <w:r>
              <w:rPr>
                <w:i/>
                <w:iCs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Анкета Участника (форма </w:t>
            </w:r>
            <w:r>
              <w:t xml:space="preserve">5</w:t>
            </w:r>
            <w:r>
              <w:t xml:space="preserve">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53" w:name="_Ref132888537"/>
            <w:r/>
            <w:bookmarkEnd w:id="35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12"/>
        <w:rPr>
          <w:rStyle w:val="1121"/>
          <w:i w:val="0"/>
          <w:iCs w:val="0"/>
          <w:shd w:val="clear" w:color="auto" w:fill="auto"/>
        </w:rPr>
      </w:pP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21"/>
          <w:i w:val="0"/>
          <w:iCs w:val="0"/>
          <w:shd w:val="clear" w:color="auto" w:fill="auto"/>
        </w:rPr>
        <w:t xml:space="preserve"> </w:t>
      </w:r>
      <w:r>
        <w:rPr>
          <w:rStyle w:val="1121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rPr>
          <w:rStyle w:val="1121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0"/>
      </w:pPr>
      <w:r/>
      <w:bookmarkStart w:id="459" w:name="_Toc59"/>
      <w:r/>
      <w:bookmarkStart w:id="354" w:name="Прил07_ОтборочныеКритерии"/>
      <w:r/>
      <w:bookmarkStart w:id="355" w:name="_Ref125365264"/>
      <w:r/>
      <w:bookmarkEnd w:id="354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55"/>
      <w:r/>
      <w:bookmarkEnd w:id="459"/>
      <w:r/>
      <w:r/>
    </w:p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0" w:name="_Toc60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21"/>
          <w:i w:val="0"/>
          <w:iCs w:val="0"/>
          <w:shd w:val="clear" w:color="auto" w:fill="auto"/>
        </w:rPr>
        <w:t xml:space="preserve">первых частей </w:t>
      </w:r>
      <w:r>
        <w:rPr>
          <w:rStyle w:val="1121"/>
          <w:i w:val="0"/>
          <w:iCs w:val="0"/>
          <w:shd w:val="clear" w:color="auto" w:fill="auto"/>
        </w:rPr>
        <w:t xml:space="preserve">заявок</w:t>
      </w:r>
      <w:r>
        <w:rPr>
          <w:rStyle w:val="1121"/>
          <w:i w:val="0"/>
          <w:iCs w:val="0"/>
          <w:shd w:val="clear" w:color="auto" w:fill="auto"/>
        </w:rPr>
      </w:r>
      <w:bookmarkEnd w:id="460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сроков (и (или) этапов) </w:t>
            </w:r>
            <w:r>
              <w:t xml:space="preserve">реализации Договора</w:t>
            </w:r>
            <w:r>
              <w:t xml:space="preserve">, </w:t>
            </w:r>
            <w:r>
              <w:t xml:space="preserve">предложенных Участником в Техническом предложении, </w:t>
            </w:r>
            <w:r>
              <w:t xml:space="preserve">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>
              <w:t xml:space="preserve">, или согласие с ними в Письме о подаче оферты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>
              <w:t xml:space="preserve"> / сведений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1" w:name="_Toc61"/>
      <w:r/>
      <w:bookmarkStart w:id="360" w:name="_Hlk132891087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60"/>
      <w:r>
        <w:rPr>
          <w:rStyle w:val="1121"/>
          <w:i w:val="0"/>
          <w:iCs w:val="0"/>
          <w:shd w:val="clear" w:color="auto" w:fill="auto"/>
        </w:rPr>
      </w:r>
      <w:bookmarkEnd w:id="461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61" w:name="_Ref132890414"/>
            <w:r/>
            <w:bookmarkEnd w:id="36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16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требованиям к стране происхождения поставляемого товара, установленным в Технических требованиях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исполнения Заказчиком норм в части минимальной обязательной доли закупок товаров российского происхождения (подраздел</w:t>
            </w:r>
            <w:r>
              <w:rPr>
                <w:i/>
                <w:iCs/>
                <w:lang w:val="en-US"/>
              </w:rPr>
              <w:t xml:space="preserve">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186183588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</w:t>
            </w:r>
            <w:r>
              <w:rPr>
                <w:lang w:val="en-US"/>
              </w:rPr>
              <w:t xml:space="preserve"> 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_Ref130281199 \r \h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 xml:space="preserve">4.3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rPr>
                <w:lang w:val="en-US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2" w:name="_Toc62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21"/>
          <w:i w:val="0"/>
          <w:iCs w:val="0"/>
          <w:shd w:val="clear" w:color="auto" w:fill="auto"/>
        </w:rPr>
      </w:r>
      <w:bookmarkEnd w:id="462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/>
          </w:p>
          <w:p>
            <w:pPr>
              <w:pStyle w:val="1116"/>
              <w:jc w:val="center"/>
              <w:rPr>
                <w:rStyle w:val="1140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/>
            <w:bookmarkStart w:id="363" w:name="_Hlk209700351"/>
            <w:r>
              <w:t xml:space="preserve">Соответствие Коммерческого предложения</w:t>
            </w:r>
            <w:r>
              <w:t xml:space="preserve"> (</w:t>
            </w:r>
            <w:r>
              <w:t xml:space="preserve">оценка </w:t>
            </w:r>
            <w:r>
              <w:t xml:space="preserve">состава и </w:t>
            </w:r>
            <w:r>
              <w:t xml:space="preserve">правильности оформления</w:t>
            </w:r>
            <w:r>
              <w:t xml:space="preserve"> документов</w:t>
            </w:r>
            <w:r>
              <w:t xml:space="preserve">; проверка отсутствия противоречий в </w:t>
            </w:r>
            <w:r>
              <w:t xml:space="preserve">представленных в составе Коммерческого предложения (и приложениях к нему) документах</w:t>
            </w:r>
            <w:r>
              <w:t xml:space="preserve">)</w:t>
            </w:r>
            <w:r>
              <w:t xml:space="preserve">.</w:t>
            </w:r>
            <w:bookmarkEnd w:id="363"/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t xml:space="preserve">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установленным </w:t>
            </w:r>
            <w:r>
              <w:t xml:space="preserve">законодательством </w:t>
            </w:r>
            <w:r>
              <w:t xml:space="preserve">требованиям к предоставлению национального режима, в том числе в части указания сведений, которые подтверждают страну происхождения товара в составе заявке в форме Коммерческого предложения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или ограничения закупки иностранной продукции</w:t>
            </w:r>
            <w:r>
              <w:rPr>
                <w:i/>
                <w:iCs/>
              </w:rPr>
              <w:t xml:space="preserve">, а также при исполнении </w:t>
            </w:r>
            <w:r>
              <w:rPr>
                <w:i/>
                <w:iCs/>
              </w:rPr>
              <w:t xml:space="preserve">З</w:t>
            </w:r>
            <w:r>
              <w:rPr>
                <w:i/>
                <w:iCs/>
              </w:rPr>
              <w:t xml:space="preserve">аказчиком норм в части минимальной обязательной доли закупок товаров российского происхождения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_Ref130281199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  <w:p>
            <w:pPr>
              <w:pStyle w:val="1116"/>
              <w:jc w:val="center"/>
            </w:pPr>
            <w:r/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br/>
              <w:t xml:space="preserve">(форма Коммерческого предложения)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40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1"/>
        <w:rPr>
          <w:rStyle w:val="1121"/>
          <w:i w:val="0"/>
          <w:iCs w:val="0"/>
          <w:shd w:val="clear" w:color="auto" w:fill="auto"/>
        </w:rPr>
      </w:pPr>
      <w:r/>
      <w:bookmarkStart w:id="463" w:name="_Toc63"/>
      <w:r/>
      <w:bookmarkStart w:id="364" w:name="_Ref195009395"/>
      <w:r>
        <w:rPr>
          <w:rStyle w:val="1121"/>
          <w:i w:val="0"/>
          <w:iCs w:val="0"/>
          <w:shd w:val="clear" w:color="auto" w:fill="auto"/>
        </w:rPr>
        <w:t xml:space="preserve">Дополнительные</w:t>
      </w:r>
      <w:r>
        <w:rPr>
          <w:rStyle w:val="1121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21"/>
          <w:i w:val="0"/>
          <w:iCs w:val="0"/>
          <w:shd w:val="clear" w:color="auto" w:fill="auto"/>
        </w:rPr>
        <w:t xml:space="preserve">ок</w:t>
      </w:r>
      <w:r>
        <w:rPr>
          <w:rStyle w:val="1121"/>
          <w:i w:val="0"/>
          <w:iCs w:val="0"/>
          <w:shd w:val="clear" w:color="auto" w:fill="auto"/>
        </w:rPr>
        <w:t xml:space="preserve"> на соответстви</w:t>
      </w: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64"/>
      <w:r>
        <w:rPr>
          <w:rStyle w:val="1121"/>
          <w:i w:val="0"/>
          <w:iCs w:val="0"/>
          <w:shd w:val="clear" w:color="auto" w:fill="auto"/>
        </w:rPr>
      </w:r>
      <w:bookmarkEnd w:id="463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Возможность применения преимущества, 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преимущества российской продукции, в отношении заявки с российской продукцией (на поставку товара российского происхождения (в том числе поставляемого при выполнении работ, оказании услуг))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(пункт применяется только в случае установления режима </w:t>
            </w:r>
            <w:r>
              <w:rPr>
                <w:i/>
                <w:iCs/>
              </w:rPr>
              <w:t xml:space="preserve">преимущества российской продукции</w:t>
            </w:r>
            <w:r>
              <w:rPr>
                <w:i/>
                <w:iCs/>
              </w:rPr>
              <w:t xml:space="preserve"> (подраздел 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6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</w:t>
      </w:r>
      <w:r>
        <w:t xml:space="preserve">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</w:t>
      </w:r>
      <w:bookmarkStart w:id="366" w:name="_Hlk207815919"/>
      <w:r>
        <w:t xml:space="preserve">в целях применения законодательства о национальном режиме: а)</w:t>
      </w:r>
      <w:r>
        <w:t xml:space="preserve"> </w:t>
      </w:r>
      <w:r>
        <w:t xml:space="preserve">при закупке товаров (в том числе поставляемых при выполнении работ, оказании услуг) – оценка сведений о стране происхождения предлагаемого к поставке товара; б)</w:t>
      </w:r>
      <w:r>
        <w:t xml:space="preserve"> </w:t>
      </w:r>
      <w:r>
        <w:t xml:space="preserve">при закупке работ, услуг – оценка сведений о стране регистрации Участника (стране регистрации лица, согласно заявке выполняющего работу, оказывающего услугу)</w:t>
      </w:r>
      <w:bookmarkEnd w:id="366"/>
      <w:r>
        <w:t xml:space="preserve">;</w:t>
      </w:r>
      <w:r>
        <w:t xml:space="preserve">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</w:t>
      </w:r>
      <w:r>
        <w:t xml:space="preserve"> </w:t>
      </w:r>
      <w:r>
        <w:t xml:space="preserve">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</w:t>
      </w:r>
      <w:r>
        <w:t xml:space="preserve">,</w:t>
      </w:r>
      <w:r>
        <w:t xml:space="preserve">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16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bookmarkStart w:id="367" w:name="_Hlk207816097"/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языка и валюты заявки); </w:t>
      </w:r>
      <w:r>
        <w:t xml:space="preserve">проверка отсутствия противоречий </w:t>
      </w:r>
      <w:r>
        <w:t xml:space="preserve">в </w:t>
      </w:r>
      <w:r>
        <w:t xml:space="preserve">представленных в составе Коммерческого предложения (и приложениях к нему) документах</w:t>
      </w:r>
      <w:r>
        <w:t xml:space="preserve">; проверка соответствия подтверж</w:t>
      </w:r>
      <w:r>
        <w:t xml:space="preserve">дающей документации (сметная документация и т.п.), прилагаемой к Коммерческому приложению, требованиям, указанным в Технических требованиях (при наличии такой документации и если ее предоставление требовалось в Документации о закупке), в том числе в части </w:t>
      </w:r>
      <w:r>
        <w:t xml:space="preserve"> </w:t>
      </w:r>
      <w:bookmarkEnd w:id="367"/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16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4" w:name="_Toc64"/>
      <w:r/>
      <w:bookmarkStart w:id="368" w:name="Прил08_ПорядокОценки"/>
      <w:r/>
      <w:bookmarkStart w:id="369" w:name="_Ref125361648"/>
      <w:r/>
      <w:bookmarkStart w:id="370" w:name="_Ref125361951"/>
      <w:r/>
      <w:bookmarkStart w:id="371" w:name="_Ref125366013"/>
      <w:r/>
      <w:bookmarkStart w:id="372" w:name="_Ref125366280"/>
      <w:r/>
      <w:bookmarkStart w:id="373" w:name="_Ref125366285"/>
      <w:r/>
      <w:bookmarkStart w:id="374" w:name="_Ref125368140"/>
      <w:r/>
      <w:bookmarkStart w:id="375" w:name="_Ref125368150"/>
      <w:r/>
      <w:bookmarkStart w:id="376" w:name="_Ref125368165"/>
      <w:r/>
      <w:bookmarkStart w:id="377" w:name="_Ref125368172"/>
      <w:r/>
      <w:bookmarkStart w:id="378" w:name="_Ref125368184"/>
      <w:r/>
      <w:bookmarkStart w:id="379" w:name="_Ref125368283"/>
      <w:r/>
      <w:bookmarkStart w:id="380" w:name="_Ref125368291"/>
      <w:r/>
      <w:bookmarkStart w:id="381" w:name="_Ref125368302"/>
      <w:r/>
      <w:bookmarkStart w:id="382" w:name="_Ref125368313"/>
      <w:r/>
      <w:bookmarkStart w:id="383" w:name="_Ref125368331"/>
      <w:r/>
      <w:bookmarkStart w:id="384" w:name="_Ref125369021"/>
      <w:r/>
      <w:bookmarkStart w:id="385" w:name="_Ref125369438"/>
      <w:r/>
      <w:bookmarkEnd w:id="368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bookmarkEnd w:id="382"/>
      <w:r/>
      <w:bookmarkEnd w:id="383"/>
      <w:r/>
      <w:bookmarkEnd w:id="384"/>
      <w:r/>
      <w:bookmarkEnd w:id="385"/>
      <w:r/>
      <w:bookmarkEnd w:id="464"/>
      <w:r/>
      <w:r/>
    </w:p>
    <w:p>
      <w:pPr>
        <w:pStyle w:val="1111"/>
      </w:pPr>
      <w:r/>
      <w:bookmarkStart w:id="465" w:name="_Toc65"/>
      <w:r>
        <w:t xml:space="preserve">Порядок и критерии оценки и сопоставления заявок</w:t>
      </w:r>
      <w:bookmarkEnd w:id="465"/>
      <w:r/>
      <w:r/>
    </w:p>
    <w:p>
      <w:pPr>
        <w:pStyle w:val="1112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24"/>
        </w:rPr>
        <w:footnoteReference w:id="14"/>
      </w:r>
      <w:r>
        <w:t xml:space="preserve">.</w:t>
      </w:r>
      <w:r/>
    </w:p>
    <w:p>
      <w:pPr>
        <w:pStyle w:val="1112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6" w:name="_Toc66"/>
      <w:r/>
      <w:bookmarkStart w:id="388" w:name="Прил09_ОбоснованиеНМЦ"/>
      <w:r/>
      <w:bookmarkStart w:id="389" w:name="_Ref125360420"/>
      <w:r/>
      <w:bookmarkEnd w:id="388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89"/>
      <w:r/>
      <w:bookmarkEnd w:id="466"/>
      <w:r/>
      <w:r/>
    </w:p>
    <w:p>
      <w:pPr>
        <w:pStyle w:val="1111"/>
      </w:pPr>
      <w:r/>
      <w:bookmarkStart w:id="467" w:name="_Toc67"/>
      <w:r>
        <w:t xml:space="preserve">Пояснения к Обоснованию НМЦ</w:t>
      </w:r>
      <w:bookmarkEnd w:id="467"/>
      <w:r/>
      <w:r/>
    </w:p>
    <w:p>
      <w:pPr>
        <w:pStyle w:val="1112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10"/>
      </w:pPr>
      <w:r/>
      <w:bookmarkStart w:id="468" w:name="_Toc68"/>
      <w:r/>
      <w:bookmarkStart w:id="392" w:name="Прил10_ФормаЗаявкиНаАккредитацию"/>
      <w:r/>
      <w:bookmarkEnd w:id="392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68"/>
      <w:r/>
      <w:r/>
    </w:p>
    <w:p>
      <w:pPr>
        <w:pStyle w:val="1111"/>
      </w:pPr>
      <w:r/>
      <w:bookmarkStart w:id="469" w:name="_Toc69"/>
      <w:r>
        <w:t xml:space="preserve">Пояснения к форме Заявки на аккредитацию</w:t>
      </w:r>
      <w:bookmarkEnd w:id="469"/>
      <w:r/>
      <w:r/>
    </w:p>
    <w:p>
      <w:pPr>
        <w:pStyle w:val="1112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>
        <w:t xml:space="preserve"> </w:t>
      </w:r>
      <w:r/>
    </w:p>
    <w:p>
      <w:pPr>
        <w:pStyle w:val="1112"/>
      </w:pPr>
      <w:r>
        <w:t xml:space="preserve">Заявка на аккредитацию </w:t>
      </w:r>
      <w:r>
        <w:t xml:space="preserve">пред</w:t>
      </w:r>
      <w:r>
        <w:t xml:space="preserve">о</w:t>
      </w:r>
      <w:r>
        <w:t xml:space="preserve">ставл</w:t>
      </w:r>
      <w:r>
        <w:t xml:space="preserve">яется (в установленных Документацией о закупке случаях) Участником в составе своей заявки </w:t>
      </w:r>
      <w:bookmarkStart w:id="395" w:name="_Hlk207300788"/>
      <w:r>
        <w:t xml:space="preserve">только в электронном виде </w:t>
      </w:r>
      <w:r>
        <w:rPr>
          <w:b/>
          <w:bCs/>
        </w:rPr>
        <w:t xml:space="preserve">в формате </w:t>
      </w:r>
      <w:r>
        <w:rPr>
          <w:b/>
          <w:bCs/>
          <w:lang w:val="en-US"/>
        </w:rPr>
        <w:t xml:space="preserve">Microsoft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 xml:space="preserve">Excel</w:t>
      </w:r>
      <w:r>
        <w:rPr>
          <w:b/>
          <w:bCs/>
        </w:rPr>
        <w:t xml:space="preserve"> (*.</w:t>
      </w:r>
      <w:r>
        <w:rPr>
          <w:b/>
          <w:bCs/>
          <w:lang w:val="en-US"/>
        </w:rPr>
        <w:t xml:space="preserve">xlsx</w:t>
      </w:r>
      <w:r>
        <w:rPr>
          <w:b/>
          <w:bCs/>
        </w:rPr>
        <w:t xml:space="preserve">)</w:t>
      </w:r>
      <w:r>
        <w:t xml:space="preserve">)</w:t>
      </w:r>
      <w:bookmarkEnd w:id="395"/>
      <w:r>
        <w:t xml:space="preserve">.</w:t>
      </w:r>
      <w:r/>
    </w:p>
    <w:p>
      <w:pPr>
        <w:pStyle w:val="1116"/>
        <w:jc w:val="center"/>
      </w:pPr>
      <w:r/>
      <w:r/>
    </w:p>
    <w:p>
      <w:r/>
      <w:r/>
    </w:p>
    <w:p>
      <w:pPr>
        <w:pStyle w:val="1110"/>
      </w:pPr>
      <w:r/>
      <w:bookmarkStart w:id="470" w:name="_Toc70"/>
      <w:r/>
      <w:bookmarkStart w:id="396" w:name="Прил11_Данные_бухотчетность"/>
      <w:r/>
      <w:bookmarkStart w:id="398" w:name="_Hlk210644436"/>
      <w:r>
        <w:t xml:space="preserve">Приложение № 11 </w:t>
      </w:r>
      <w:bookmarkEnd w:id="396"/>
      <w:r>
        <w:t xml:space="preserve">– форма Данных бухгалтерской (финансовой) отчетности</w:t>
      </w:r>
      <w:bookmarkEnd w:id="470"/>
      <w:r/>
      <w:r/>
    </w:p>
    <w:p>
      <w:pPr>
        <w:pStyle w:val="1111"/>
      </w:pPr>
      <w:r/>
      <w:bookmarkStart w:id="471" w:name="_Toc71"/>
      <w:r>
        <w:t xml:space="preserve">Пояснения к форме Данных бухгалтерской (финансовой) отчетности</w:t>
      </w:r>
      <w:r>
        <w:t xml:space="preserve"> </w:t>
      </w:r>
      <w:bookmarkEnd w:id="471"/>
      <w:r/>
      <w:r/>
    </w:p>
    <w:p>
      <w:pPr>
        <w:pStyle w:val="1112"/>
      </w:pPr>
      <w:r>
        <w:t xml:space="preserve">Форма Данных бухгалтерской (финансовой) отчетности приведена 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11 к Документации о закупке.</w:t>
      </w:r>
      <w:r/>
    </w:p>
    <w:p>
      <w:r/>
      <w:r/>
    </w:p>
    <w:p>
      <w:pPr>
        <w:jc w:val="center"/>
      </w:pPr>
      <w:r/>
      <w:bookmarkStart w:id="400" w:name="_MON_1821256687"/>
      <w:r/>
      <w:bookmarkEnd w:id="400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78535" cy="629285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78573307" name="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8534" cy="6292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7.05pt;height:49.5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bookmarkEnd w:id="398"/>
      <w:r/>
      <w:r/>
    </w:p>
    <w:p>
      <w:pPr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6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Участников.</w:t>
      </w:r>
      <w:r/>
    </w:p>
  </w:footnote>
  <w:footnote w:id="7">
    <w:p>
      <w:pPr>
        <w:pStyle w:val="1122"/>
        <w:ind w:left="567" w:hanging="567"/>
        <w:jc w:val="both"/>
        <w:rPr>
          <w:sz w:val="22"/>
        </w:rPr>
      </w:pPr>
      <w:r>
        <w:rPr>
          <w:rStyle w:val="1124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8">
    <w:p>
      <w:pPr>
        <w:pStyle w:val="1125"/>
      </w:pPr>
      <w:r>
        <w:rPr>
          <w:rStyle w:val="1124"/>
        </w:rPr>
        <w:footnoteRef/>
      </w:r>
      <w:r>
        <w:tab/>
      </w:r>
      <w:bookmarkStart w:id="164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64"/>
      <w:r/>
      <w:r/>
    </w:p>
  </w:footnote>
  <w:footnote w:id="9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</w:t>
      </w:r>
      <w:r>
        <w:t xml:space="preserve"> и Победителя</w:t>
      </w:r>
      <w:r>
        <w:t xml:space="preserve">.</w:t>
      </w:r>
      <w:r/>
    </w:p>
  </w:footnote>
  <w:footnote w:id="11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1160"/>
      <w:isLgl w:val="false"/>
      <w:suff w:val="tab"/>
      <w:lvlText w:val="%1."/>
      <w:lvlJc w:val="left"/>
      <w:pPr>
        <w:ind w:left="0" w:firstLine="0"/>
        <w:tabs>
          <w:tab w:val="num" w:pos="851" w:leader="none"/>
        </w:tabs>
      </w:pPr>
      <w:rPr>
        <w:rFonts w:hint="default"/>
      </w:rPr>
    </w:lvl>
    <w:lvl w:ilvl="1">
      <w:start w:val="1"/>
      <w:numFmt w:val="decimal"/>
      <w:pStyle w:val="1161"/>
      <w:isLgl w:val="false"/>
      <w:suff w:val="tab"/>
      <w:lvlText w:val="%1.%2."/>
      <w:lvlJc w:val="left"/>
      <w:pPr>
        <w:ind w:left="1418" w:hanging="1418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66"/>
      <w:isLgl w:val="false"/>
      <w:suff w:val="tab"/>
      <w:lvlText w:val="%1.%2.%3."/>
      <w:lvlJc w:val="left"/>
      <w:pPr>
        <w:ind w:left="1418" w:hanging="1418"/>
        <w:tabs>
          <w:tab w:val="num" w:pos="1701" w:leader="none"/>
        </w:tabs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pStyle w:val="1163"/>
      <w:isLgl w:val="false"/>
      <w:suff w:val="tab"/>
      <w:lvlText w:val="%1.%2.%3.%4."/>
      <w:lvlJc w:val="left"/>
      <w:pPr>
        <w:ind w:left="1418" w:hanging="1418"/>
        <w:tabs>
          <w:tab w:val="num" w:pos="1701" w:leader="none"/>
        </w:tabs>
      </w:pPr>
      <w:rPr>
        <w:rFonts w:hint="default" w:ascii="Times New Roman" w:hAnsi="Times New Roman" w:cs="Times New Roman"/>
        <w:b w:val="0"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pStyle w:val="1162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5">
      <w:start w:val="1"/>
      <w:numFmt w:val="bullet"/>
      <w:pStyle w:val="1165"/>
      <w:isLgl w:val="false"/>
      <w:suff w:val="tab"/>
      <w:lvlText w:val=""/>
      <w:lvlJc w:val="left"/>
      <w:pPr>
        <w:ind w:left="1985" w:hanging="567"/>
        <w:tabs>
          <w:tab w:val="num" w:pos="1985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0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3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705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19"/>
  </w:num>
  <w:num w:numId="5">
    <w:abstractNumId w:val="15"/>
  </w:num>
  <w:num w:numId="6">
    <w:abstractNumId w:val="10"/>
  </w:num>
  <w:num w:numId="7">
    <w:abstractNumId w:val="8"/>
  </w:num>
  <w:num w:numId="8">
    <w:abstractNumId w:val="2"/>
  </w:num>
  <w:num w:numId="9">
    <w:abstractNumId w:val="21"/>
  </w:num>
  <w:num w:numId="10">
    <w:abstractNumId w:val="9"/>
  </w:num>
  <w:num w:numId="11">
    <w:abstractNumId w:val="20"/>
  </w:num>
  <w:num w:numId="12">
    <w:abstractNumId w:val="23"/>
  </w:num>
  <w:num w:numId="13">
    <w:abstractNumId w:val="3"/>
  </w:num>
  <w:num w:numId="14">
    <w:abstractNumId w:val="4"/>
  </w:num>
  <w:num w:numId="15">
    <w:abstractNumId w:val="16"/>
  </w:num>
  <w:num w:numId="16">
    <w:abstractNumId w:val="12"/>
  </w:num>
  <w:num w:numId="17">
    <w:abstractNumId w:val="24"/>
  </w:num>
  <w:num w:numId="18">
    <w:abstractNumId w:val="22"/>
  </w:num>
  <w:num w:numId="19">
    <w:abstractNumId w:val="13"/>
  </w:num>
  <w:num w:numId="20">
    <w:abstractNumId w:val="11"/>
  </w:num>
  <w:num w:numId="21">
    <w:abstractNumId w:val="14"/>
  </w:num>
  <w:num w:numId="22">
    <w:abstractNumId w:val="26"/>
  </w:num>
  <w:num w:numId="23">
    <w:abstractNumId w:val="0"/>
  </w:num>
  <w:num w:numId="24">
    <w:abstractNumId w:val="17"/>
  </w:num>
  <w:num w:numId="25">
    <w:abstractNumId w:val="1"/>
  </w:num>
  <w:num w:numId="26">
    <w:abstractNumId w:val="5"/>
  </w:num>
  <w:num w:numId="27">
    <w:abstractNumId w:val="6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4">
    <w:name w:val="Heading 1 Char"/>
    <w:basedOn w:val="1107"/>
    <w:link w:val="1104"/>
    <w:uiPriority w:val="9"/>
    <w:rPr>
      <w:rFonts w:ascii="Arial" w:hAnsi="Arial" w:eastAsia="Arial" w:cs="Arial"/>
      <w:sz w:val="40"/>
      <w:szCs w:val="40"/>
    </w:rPr>
  </w:style>
  <w:style w:type="character" w:styleId="945">
    <w:name w:val="Heading 2 Char"/>
    <w:basedOn w:val="1107"/>
    <w:link w:val="1105"/>
    <w:uiPriority w:val="9"/>
    <w:rPr>
      <w:rFonts w:ascii="Arial" w:hAnsi="Arial" w:eastAsia="Arial" w:cs="Arial"/>
      <w:sz w:val="34"/>
    </w:rPr>
  </w:style>
  <w:style w:type="character" w:styleId="946">
    <w:name w:val="Heading 3 Char"/>
    <w:basedOn w:val="1107"/>
    <w:link w:val="1106"/>
    <w:uiPriority w:val="9"/>
    <w:rPr>
      <w:rFonts w:ascii="Arial" w:hAnsi="Arial" w:eastAsia="Arial" w:cs="Arial"/>
      <w:sz w:val="30"/>
      <w:szCs w:val="30"/>
    </w:rPr>
  </w:style>
  <w:style w:type="paragraph" w:styleId="947">
    <w:name w:val="Heading 4"/>
    <w:basedOn w:val="1103"/>
    <w:next w:val="1103"/>
    <w:link w:val="9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8">
    <w:name w:val="Heading 4 Char"/>
    <w:basedOn w:val="1107"/>
    <w:link w:val="947"/>
    <w:uiPriority w:val="9"/>
    <w:rPr>
      <w:rFonts w:ascii="Arial" w:hAnsi="Arial" w:eastAsia="Arial" w:cs="Arial"/>
      <w:b/>
      <w:bCs/>
      <w:sz w:val="26"/>
      <w:szCs w:val="26"/>
    </w:rPr>
  </w:style>
  <w:style w:type="paragraph" w:styleId="949">
    <w:name w:val="Heading 5"/>
    <w:basedOn w:val="1103"/>
    <w:next w:val="1103"/>
    <w:link w:val="9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0">
    <w:name w:val="Heading 5 Char"/>
    <w:basedOn w:val="1107"/>
    <w:link w:val="949"/>
    <w:uiPriority w:val="9"/>
    <w:rPr>
      <w:rFonts w:ascii="Arial" w:hAnsi="Arial" w:eastAsia="Arial" w:cs="Arial"/>
      <w:b/>
      <w:bCs/>
      <w:sz w:val="24"/>
      <w:szCs w:val="24"/>
    </w:rPr>
  </w:style>
  <w:style w:type="paragraph" w:styleId="951">
    <w:name w:val="Heading 6"/>
    <w:basedOn w:val="1103"/>
    <w:next w:val="1103"/>
    <w:link w:val="9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2">
    <w:name w:val="Heading 6 Char"/>
    <w:basedOn w:val="1107"/>
    <w:link w:val="951"/>
    <w:uiPriority w:val="9"/>
    <w:rPr>
      <w:rFonts w:ascii="Arial" w:hAnsi="Arial" w:eastAsia="Arial" w:cs="Arial"/>
      <w:b/>
      <w:bCs/>
      <w:sz w:val="22"/>
      <w:szCs w:val="22"/>
    </w:rPr>
  </w:style>
  <w:style w:type="paragraph" w:styleId="953">
    <w:name w:val="Heading 7"/>
    <w:basedOn w:val="1103"/>
    <w:next w:val="1103"/>
    <w:link w:val="9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4">
    <w:name w:val="Heading 7 Char"/>
    <w:basedOn w:val="1107"/>
    <w:link w:val="9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5">
    <w:name w:val="Heading 8"/>
    <w:basedOn w:val="1103"/>
    <w:next w:val="1103"/>
    <w:link w:val="9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6">
    <w:name w:val="Heading 8 Char"/>
    <w:basedOn w:val="1107"/>
    <w:link w:val="955"/>
    <w:uiPriority w:val="9"/>
    <w:rPr>
      <w:rFonts w:ascii="Arial" w:hAnsi="Arial" w:eastAsia="Arial" w:cs="Arial"/>
      <w:i/>
      <w:iCs/>
      <w:sz w:val="22"/>
      <w:szCs w:val="22"/>
    </w:rPr>
  </w:style>
  <w:style w:type="paragraph" w:styleId="957">
    <w:name w:val="Heading 9"/>
    <w:basedOn w:val="1103"/>
    <w:next w:val="1103"/>
    <w:link w:val="9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8">
    <w:name w:val="Heading 9 Char"/>
    <w:basedOn w:val="1107"/>
    <w:link w:val="957"/>
    <w:uiPriority w:val="9"/>
    <w:rPr>
      <w:rFonts w:ascii="Arial" w:hAnsi="Arial" w:eastAsia="Arial" w:cs="Arial"/>
      <w:i/>
      <w:iCs/>
      <w:sz w:val="21"/>
      <w:szCs w:val="21"/>
    </w:rPr>
  </w:style>
  <w:style w:type="paragraph" w:styleId="959">
    <w:name w:val="No Spacing"/>
    <w:uiPriority w:val="1"/>
    <w:qFormat/>
    <w:pPr>
      <w:spacing w:before="0" w:after="0" w:line="240" w:lineRule="auto"/>
    </w:pPr>
  </w:style>
  <w:style w:type="paragraph" w:styleId="960">
    <w:name w:val="Title"/>
    <w:basedOn w:val="1103"/>
    <w:next w:val="1103"/>
    <w:link w:val="9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1">
    <w:name w:val="Title Char"/>
    <w:basedOn w:val="1107"/>
    <w:link w:val="960"/>
    <w:uiPriority w:val="10"/>
    <w:rPr>
      <w:sz w:val="48"/>
      <w:szCs w:val="48"/>
    </w:rPr>
  </w:style>
  <w:style w:type="paragraph" w:styleId="962">
    <w:name w:val="Subtitle"/>
    <w:basedOn w:val="1103"/>
    <w:next w:val="1103"/>
    <w:link w:val="963"/>
    <w:uiPriority w:val="11"/>
    <w:qFormat/>
    <w:pPr>
      <w:spacing w:before="200" w:after="200"/>
    </w:pPr>
    <w:rPr>
      <w:sz w:val="24"/>
      <w:szCs w:val="24"/>
    </w:rPr>
  </w:style>
  <w:style w:type="character" w:styleId="963">
    <w:name w:val="Subtitle Char"/>
    <w:basedOn w:val="1107"/>
    <w:link w:val="962"/>
    <w:uiPriority w:val="11"/>
    <w:rPr>
      <w:sz w:val="24"/>
      <w:szCs w:val="24"/>
    </w:rPr>
  </w:style>
  <w:style w:type="paragraph" w:styleId="964">
    <w:name w:val="Quote"/>
    <w:basedOn w:val="1103"/>
    <w:next w:val="1103"/>
    <w:link w:val="965"/>
    <w:uiPriority w:val="29"/>
    <w:qFormat/>
    <w:pPr>
      <w:ind w:left="720" w:right="720"/>
    </w:pPr>
    <w:rPr>
      <w:i/>
    </w:rPr>
  </w:style>
  <w:style w:type="character" w:styleId="965">
    <w:name w:val="Quote Char"/>
    <w:link w:val="964"/>
    <w:uiPriority w:val="29"/>
    <w:rPr>
      <w:i/>
    </w:rPr>
  </w:style>
  <w:style w:type="paragraph" w:styleId="966">
    <w:name w:val="Intense Quote"/>
    <w:basedOn w:val="1103"/>
    <w:next w:val="1103"/>
    <w:link w:val="9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7">
    <w:name w:val="Intense Quote Char"/>
    <w:link w:val="966"/>
    <w:uiPriority w:val="30"/>
    <w:rPr>
      <w:i/>
    </w:rPr>
  </w:style>
  <w:style w:type="character" w:styleId="968">
    <w:name w:val="Header Char"/>
    <w:basedOn w:val="1107"/>
    <w:link w:val="1117"/>
    <w:uiPriority w:val="99"/>
  </w:style>
  <w:style w:type="character" w:styleId="969">
    <w:name w:val="Footer Char"/>
    <w:basedOn w:val="1107"/>
    <w:link w:val="1119"/>
    <w:uiPriority w:val="99"/>
  </w:style>
  <w:style w:type="paragraph" w:styleId="970">
    <w:name w:val="Caption"/>
    <w:basedOn w:val="1103"/>
    <w:next w:val="1103"/>
    <w:link w:val="9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1">
    <w:name w:val="Caption Char"/>
    <w:basedOn w:val="1107"/>
    <w:link w:val="970"/>
    <w:uiPriority w:val="35"/>
    <w:rPr>
      <w:b/>
      <w:bCs/>
      <w:color w:val="4f81bd" w:themeColor="accent1"/>
      <w:sz w:val="18"/>
      <w:szCs w:val="18"/>
    </w:rPr>
  </w:style>
  <w:style w:type="table" w:styleId="972">
    <w:name w:val="Table Grid Light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3">
    <w:name w:val="Plain Table 1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4">
    <w:name w:val="Plain Table 2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5">
    <w:name w:val="Plain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6">
    <w:name w:val="Plain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Plain Table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8">
    <w:name w:val="Grid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0">
    <w:name w:val="Grid Table 4 - Accent 1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1">
    <w:name w:val="Grid Table 4 - Accent 2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2">
    <w:name w:val="Grid Table 4 - Accent 3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3">
    <w:name w:val="Grid Table 4 - Accent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4">
    <w:name w:val="Grid Table 4 - Accent 5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5">
    <w:name w:val="Grid Table 4 - Accent 6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6">
    <w:name w:val="Grid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7">
    <w:name w:val="Grid Table 5 Dark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9">
    <w:name w:val="Grid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0">
    <w:name w:val="Grid Table 5 Dark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2">
    <w:name w:val="Grid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3">
    <w:name w:val="Grid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4">
    <w:name w:val="Grid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5">
    <w:name w:val="Grid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6">
    <w:name w:val="Grid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7">
    <w:name w:val="Grid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8">
    <w:name w:val="Grid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9">
    <w:name w:val="Grid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0">
    <w:name w:val="Grid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5">
    <w:name w:val="List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6">
    <w:name w:val="List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7">
    <w:name w:val="List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8">
    <w:name w:val="List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9">
    <w:name w:val="List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0">
    <w:name w:val="List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1">
    <w:name w:val="List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3">
    <w:name w:val="List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4">
    <w:name w:val="List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5">
    <w:name w:val="List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6">
    <w:name w:val="List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7">
    <w:name w:val="List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8">
    <w:name w:val="List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9">
    <w:name w:val="List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0">
    <w:name w:val="List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1">
    <w:name w:val="List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2">
    <w:name w:val="List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3">
    <w:name w:val="List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4">
    <w:name w:val="List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5">
    <w:name w:val="List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6">
    <w:name w:val="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7">
    <w:name w:val="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8">
    <w:name w:val="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9">
    <w:name w:val="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0">
    <w:name w:val="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1">
    <w:name w:val="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2">
    <w:name w:val="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3">
    <w:name w:val="Bordered &amp; 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4">
    <w:name w:val="Bordered &amp; 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5">
    <w:name w:val="Bordered &amp; 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6">
    <w:name w:val="Bordered &amp; 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7">
    <w:name w:val="Bordered &amp; 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8">
    <w:name w:val="Bordered &amp; 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9">
    <w:name w:val="Bordered &amp; 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0">
    <w:name w:val="Bordered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1">
    <w:name w:val="Bordered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2">
    <w:name w:val="Bordered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3">
    <w:name w:val="Bordered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4">
    <w:name w:val="Bordered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5">
    <w:name w:val="Bordered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6">
    <w:name w:val="Bordered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7">
    <w:name w:val="Footnote Text Char"/>
    <w:link w:val="1122"/>
    <w:uiPriority w:val="99"/>
    <w:rPr>
      <w:sz w:val="18"/>
    </w:rPr>
  </w:style>
  <w:style w:type="paragraph" w:styleId="1098">
    <w:name w:val="endnote text"/>
    <w:basedOn w:val="1103"/>
    <w:link w:val="1099"/>
    <w:uiPriority w:val="99"/>
    <w:semiHidden/>
    <w:unhideWhenUsed/>
    <w:pPr>
      <w:spacing w:after="0" w:line="240" w:lineRule="auto"/>
    </w:pPr>
    <w:rPr>
      <w:sz w:val="20"/>
    </w:rPr>
  </w:style>
  <w:style w:type="character" w:styleId="1099">
    <w:name w:val="Endnote Text Char"/>
    <w:link w:val="1098"/>
    <w:uiPriority w:val="99"/>
    <w:rPr>
      <w:sz w:val="20"/>
    </w:rPr>
  </w:style>
  <w:style w:type="character" w:styleId="1100">
    <w:name w:val="endnote reference"/>
    <w:basedOn w:val="1107"/>
    <w:uiPriority w:val="99"/>
    <w:semiHidden/>
    <w:unhideWhenUsed/>
    <w:rPr>
      <w:vertAlign w:val="superscript"/>
    </w:rPr>
  </w:style>
  <w:style w:type="paragraph" w:styleId="1101">
    <w:name w:val="TOC Heading"/>
    <w:uiPriority w:val="39"/>
    <w:unhideWhenUsed/>
  </w:style>
  <w:style w:type="paragraph" w:styleId="1102">
    <w:name w:val="table of figures"/>
    <w:basedOn w:val="1103"/>
    <w:next w:val="1103"/>
    <w:uiPriority w:val="99"/>
    <w:unhideWhenUsed/>
    <w:pPr>
      <w:spacing w:after="0" w:afterAutospacing="0"/>
    </w:pPr>
  </w:style>
  <w:style w:type="paragraph" w:styleId="1103" w:default="1">
    <w:name w:val="Normal"/>
    <w:qFormat/>
  </w:style>
  <w:style w:type="paragraph" w:styleId="1104">
    <w:name w:val="Heading 1"/>
    <w:basedOn w:val="1103"/>
    <w:next w:val="1103"/>
    <w:link w:val="1155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05">
    <w:name w:val="Heading 2"/>
    <w:basedOn w:val="1103"/>
    <w:next w:val="1103"/>
    <w:link w:val="1156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06">
    <w:name w:val="Heading 3"/>
    <w:basedOn w:val="1103"/>
    <w:next w:val="1103"/>
    <w:link w:val="1157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07" w:default="1">
    <w:name w:val="Default Paragraph Font"/>
    <w:uiPriority w:val="1"/>
    <w:semiHidden/>
    <w:unhideWhenUsed/>
  </w:style>
  <w:style w:type="table" w:styleId="11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9" w:default="1">
    <w:name w:val="No List"/>
    <w:uiPriority w:val="99"/>
    <w:semiHidden/>
    <w:unhideWhenUsed/>
  </w:style>
  <w:style w:type="paragraph" w:styleId="1110" w:customStyle="1">
    <w:name w:val="[РГ] Раздел"/>
    <w:basedOn w:val="1103"/>
    <w:next w:val="111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1" w:customStyle="1">
    <w:name w:val="[РГ] Подраздел"/>
    <w:basedOn w:val="1103"/>
    <w:next w:val="111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2" w:customStyle="1">
    <w:name w:val="[РГ] Пункт"/>
    <w:basedOn w:val="1103"/>
    <w:qFormat/>
    <w:pPr>
      <w:numPr>
        <w:ilvl w:val="2"/>
        <w:numId w:val="1"/>
      </w:numPr>
      <w:jc w:val="both"/>
      <w:outlineLvl w:val="2"/>
    </w:pPr>
  </w:style>
  <w:style w:type="paragraph" w:styleId="1113" w:customStyle="1">
    <w:name w:val="[РГ] Подпункт"/>
    <w:basedOn w:val="1103"/>
    <w:qFormat/>
    <w:pPr>
      <w:numPr>
        <w:ilvl w:val="3"/>
        <w:numId w:val="1"/>
      </w:numPr>
      <w:jc w:val="both"/>
      <w:outlineLvl w:val="3"/>
    </w:pPr>
  </w:style>
  <w:style w:type="paragraph" w:styleId="1114" w:customStyle="1">
    <w:name w:val="[РГ] Перечисление"/>
    <w:basedOn w:val="1103"/>
    <w:qFormat/>
    <w:pPr>
      <w:numPr>
        <w:ilvl w:val="4"/>
        <w:numId w:val="1"/>
      </w:numPr>
      <w:jc w:val="both"/>
      <w:outlineLvl w:val="4"/>
    </w:pPr>
  </w:style>
  <w:style w:type="paragraph" w:styleId="1115" w:customStyle="1">
    <w:name w:val="[РГ] Заголовок"/>
    <w:basedOn w:val="1103"/>
    <w:next w:val="111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6" w:customStyle="1">
    <w:name w:val="[РГ] Текст"/>
    <w:basedOn w:val="1103"/>
    <w:qFormat/>
    <w:pPr>
      <w:jc w:val="both"/>
    </w:pPr>
  </w:style>
  <w:style w:type="paragraph" w:styleId="1117">
    <w:name w:val="Header"/>
    <w:basedOn w:val="1103"/>
    <w:link w:val="1118"/>
    <w:uiPriority w:val="99"/>
    <w:unhideWhenUsed/>
    <w:pPr>
      <w:jc w:val="center"/>
      <w:spacing w:before="0" w:after="120"/>
    </w:pPr>
  </w:style>
  <w:style w:type="character" w:styleId="1118" w:customStyle="1">
    <w:name w:val="Верхний колонтитул Знак"/>
    <w:basedOn w:val="1107"/>
    <w:link w:val="1117"/>
    <w:uiPriority w:val="99"/>
  </w:style>
  <w:style w:type="paragraph" w:styleId="1119">
    <w:name w:val="Footer"/>
    <w:basedOn w:val="1103"/>
    <w:link w:val="1120"/>
    <w:unhideWhenUsed/>
    <w:pPr>
      <w:jc w:val="right"/>
    </w:pPr>
  </w:style>
  <w:style w:type="character" w:styleId="1120" w:customStyle="1">
    <w:name w:val="Нижний колонтитул Знак"/>
    <w:basedOn w:val="1107"/>
    <w:link w:val="1119"/>
    <w:uiPriority w:val="99"/>
  </w:style>
  <w:style w:type="character" w:styleId="1121" w:customStyle="1">
    <w:name w:val="[РГ] Инструкция для организатора"/>
    <w:basedOn w:val="1107"/>
    <w:uiPriority w:val="1"/>
    <w:qFormat/>
    <w:rPr>
      <w:i/>
      <w:iCs/>
      <w:shd w:val="clear" w:color="auto" w:fill="ffff99"/>
      <w:lang w:val="ru-RU"/>
    </w:rPr>
  </w:style>
  <w:style w:type="paragraph" w:styleId="1122">
    <w:name w:val="footnote text"/>
    <w:basedOn w:val="1103"/>
    <w:link w:val="1123"/>
    <w:uiPriority w:val="99"/>
    <w:semiHidden/>
    <w:unhideWhenUsed/>
    <w:pPr>
      <w:spacing w:before="0"/>
    </w:pPr>
    <w:rPr>
      <w:sz w:val="20"/>
      <w:szCs w:val="20"/>
    </w:rPr>
  </w:style>
  <w:style w:type="character" w:styleId="1123" w:customStyle="1">
    <w:name w:val="Текст сноски Знак"/>
    <w:basedOn w:val="1107"/>
    <w:link w:val="1122"/>
    <w:uiPriority w:val="99"/>
    <w:semiHidden/>
    <w:rPr>
      <w:sz w:val="20"/>
      <w:szCs w:val="20"/>
    </w:rPr>
  </w:style>
  <w:style w:type="character" w:styleId="1124">
    <w:name w:val="footnote reference"/>
    <w:basedOn w:val="1107"/>
    <w:unhideWhenUsed/>
    <w:rPr>
      <w:vertAlign w:val="superscript"/>
    </w:rPr>
  </w:style>
  <w:style w:type="paragraph" w:styleId="1125" w:customStyle="1">
    <w:name w:val="[РГ] Сноска"/>
    <w:basedOn w:val="1122"/>
    <w:qFormat/>
    <w:pPr>
      <w:ind w:left="567" w:hanging="567"/>
      <w:jc w:val="both"/>
      <w:spacing w:before="80"/>
    </w:pPr>
    <w:rPr>
      <w:sz w:val="22"/>
    </w:rPr>
  </w:style>
  <w:style w:type="character" w:styleId="1126">
    <w:name w:val="Hyperlink"/>
    <w:basedOn w:val="1107"/>
    <w:uiPriority w:val="99"/>
    <w:unhideWhenUsed/>
    <w:rPr>
      <w:color w:val="0563c1" w:themeColor="hyperlink"/>
      <w:u w:val="single"/>
    </w:rPr>
  </w:style>
  <w:style w:type="character" w:styleId="1127">
    <w:name w:val="Unresolved Mention"/>
    <w:basedOn w:val="1107"/>
    <w:uiPriority w:val="99"/>
    <w:semiHidden/>
    <w:unhideWhenUsed/>
    <w:rPr>
      <w:color w:val="605e5c"/>
      <w:shd w:val="clear" w:color="auto" w:fill="e1dfdd"/>
    </w:rPr>
  </w:style>
  <w:style w:type="paragraph" w:styleId="1128">
    <w:name w:val="toc 2"/>
    <w:basedOn w:val="1103"/>
    <w:next w:val="11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9">
    <w:name w:val="toc 1"/>
    <w:basedOn w:val="1103"/>
    <w:next w:val="11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0">
    <w:name w:val="toc 3"/>
    <w:basedOn w:val="1103"/>
    <w:next w:val="11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1">
    <w:name w:val="toc 4"/>
    <w:basedOn w:val="1103"/>
    <w:next w:val="11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2">
    <w:name w:val="toc 5"/>
    <w:basedOn w:val="1103"/>
    <w:next w:val="11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6"/>
    <w:basedOn w:val="1103"/>
    <w:next w:val="11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7"/>
    <w:basedOn w:val="1103"/>
    <w:next w:val="11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8"/>
    <w:basedOn w:val="1103"/>
    <w:next w:val="11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9"/>
    <w:basedOn w:val="1103"/>
    <w:next w:val="11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7" w:customStyle="1">
    <w:name w:val="[РГ] Таблица"/>
    <w:basedOn w:val="110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38">
    <w:name w:val="Table Grid"/>
    <w:basedOn w:val="110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9">
    <w:name w:val="Placeholder Text"/>
    <w:basedOn w:val="1107"/>
    <w:uiPriority w:val="99"/>
    <w:semiHidden/>
    <w:rPr>
      <w:color w:val="808080"/>
    </w:rPr>
  </w:style>
  <w:style w:type="character" w:styleId="1140" w:customStyle="1">
    <w:name w:val="[РГ] Отсылка"/>
    <w:basedOn w:val="110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1">
    <w:name w:val="annotation reference"/>
    <w:basedOn w:val="1107"/>
    <w:unhideWhenUsed/>
    <w:rPr>
      <w:sz w:val="16"/>
      <w:szCs w:val="16"/>
    </w:rPr>
  </w:style>
  <w:style w:type="paragraph" w:styleId="1142">
    <w:name w:val="annotation text"/>
    <w:basedOn w:val="1103"/>
    <w:link w:val="1143"/>
    <w:uiPriority w:val="99"/>
    <w:unhideWhenUsed/>
    <w:rPr>
      <w:sz w:val="20"/>
      <w:szCs w:val="20"/>
    </w:rPr>
  </w:style>
  <w:style w:type="character" w:styleId="1143" w:customStyle="1">
    <w:name w:val="Текст примечания Знак"/>
    <w:basedOn w:val="1107"/>
    <w:link w:val="1142"/>
    <w:uiPriority w:val="99"/>
    <w:rPr>
      <w:sz w:val="20"/>
      <w:szCs w:val="20"/>
    </w:rPr>
  </w:style>
  <w:style w:type="paragraph" w:styleId="1144">
    <w:name w:val="annotation subject"/>
    <w:basedOn w:val="1142"/>
    <w:next w:val="1142"/>
    <w:link w:val="1145"/>
    <w:uiPriority w:val="99"/>
    <w:semiHidden/>
    <w:unhideWhenUsed/>
    <w:rPr>
      <w:b/>
      <w:bCs/>
    </w:rPr>
  </w:style>
  <w:style w:type="character" w:styleId="1145" w:customStyle="1">
    <w:name w:val="Тема примечания Знак"/>
    <w:basedOn w:val="1143"/>
    <w:link w:val="1144"/>
    <w:uiPriority w:val="99"/>
    <w:semiHidden/>
    <w:rPr>
      <w:b/>
      <w:bCs/>
      <w:sz w:val="20"/>
      <w:szCs w:val="20"/>
    </w:rPr>
  </w:style>
  <w:style w:type="paragraph" w:styleId="1146" w:customStyle="1">
    <w:name w:val="[РГ] Альтернатива / Дополнение"/>
    <w:basedOn w:val="1116"/>
    <w:next w:val="1116"/>
    <w:qFormat/>
    <w:rPr>
      <w:i/>
      <w:shd w:val="clear" w:color="auto" w:fill="ccecff"/>
    </w:rPr>
  </w:style>
  <w:style w:type="character" w:styleId="1147" w:customStyle="1">
    <w:name w:val="[РГ] Инструкция для участника"/>
    <w:basedOn w:val="1107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8">
    <w:name w:val="Revision"/>
    <w:hidden/>
    <w:uiPriority w:val="99"/>
    <w:semiHidden/>
    <w:pPr>
      <w:spacing w:before="0"/>
    </w:pPr>
  </w:style>
  <w:style w:type="character" w:styleId="1149">
    <w:name w:val="FollowedHyperlink"/>
    <w:basedOn w:val="1107"/>
    <w:uiPriority w:val="99"/>
    <w:semiHidden/>
    <w:unhideWhenUsed/>
    <w:rPr>
      <w:color w:val="954f72" w:themeColor="followedHyperlink"/>
      <w:u w:val="single"/>
    </w:rPr>
  </w:style>
  <w:style w:type="paragraph" w:styleId="1150">
    <w:name w:val="List Paragraph"/>
    <w:basedOn w:val="1103"/>
    <w:uiPriority w:val="34"/>
    <w:qFormat/>
    <w:pPr>
      <w:contextualSpacing/>
      <w:ind w:left="720"/>
    </w:pPr>
  </w:style>
  <w:style w:type="paragraph" w:styleId="1151" w:customStyle="1">
    <w:name w:val="Пункт"/>
    <w:basedOn w:val="1103"/>
    <w:link w:val="1152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52" w:customStyle="1">
    <w:name w:val="Пункт Знак2"/>
    <w:link w:val="1151"/>
    <w:rPr>
      <w:rFonts w:eastAsia="Times New Roman" w:cs="Times New Roman"/>
      <w:szCs w:val="26"/>
      <w:lang w:eastAsia="ru-RU"/>
    </w:rPr>
  </w:style>
  <w:style w:type="paragraph" w:styleId="1153" w:customStyle="1">
    <w:name w:val="Подпункт"/>
    <w:basedOn w:val="1151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4" w:customStyle="1">
    <w:name w:val="Подподпункт"/>
    <w:basedOn w:val="1153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55" w:customStyle="1">
    <w:name w:val="Заголовок 1 Знак"/>
    <w:basedOn w:val="1107"/>
    <w:link w:val="1104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6" w:customStyle="1">
    <w:name w:val="Заголовок 2 Знак"/>
    <w:basedOn w:val="1107"/>
    <w:link w:val="1105"/>
    <w:rPr>
      <w:rFonts w:eastAsia="Times New Roman" w:cs="Times New Roman"/>
      <w:b/>
      <w:sz w:val="32"/>
      <w:szCs w:val="26"/>
      <w:lang w:eastAsia="ru-RU"/>
    </w:rPr>
  </w:style>
  <w:style w:type="character" w:styleId="1157" w:customStyle="1">
    <w:name w:val="Заголовок 3 Знак"/>
    <w:basedOn w:val="1107"/>
    <w:link w:val="1106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58">
    <w:name w:val="Balloon Text"/>
    <w:basedOn w:val="1103"/>
    <w:link w:val="115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59" w:customStyle="1">
    <w:name w:val="Текст выноски Знак"/>
    <w:basedOn w:val="1107"/>
    <w:link w:val="1158"/>
    <w:uiPriority w:val="99"/>
    <w:semiHidden/>
    <w:rPr>
      <w:rFonts w:ascii="Segoe UI" w:hAnsi="Segoe UI" w:cs="Segoe UI"/>
      <w:sz w:val="18"/>
      <w:szCs w:val="18"/>
    </w:rPr>
  </w:style>
  <w:style w:type="paragraph" w:styleId="1160" w:customStyle="1">
    <w:name w:val="РГ_ЕПоЗ_1."/>
    <w:basedOn w:val="1103"/>
    <w:qFormat/>
    <w:pPr>
      <w:numPr>
        <w:ilvl w:val="0"/>
        <w:numId w:val="26"/>
      </w:numPr>
      <w:jc w:val="both"/>
      <w:keepNext/>
      <w:spacing w:before="480"/>
      <w:tabs>
        <w:tab w:val="left" w:pos="1418" w:leader="none"/>
      </w:tabs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1161" w:customStyle="1">
    <w:name w:val="РГ_ЕПоЗ_1.1"/>
    <w:basedOn w:val="1103"/>
    <w:qFormat/>
    <w:pPr>
      <w:numPr>
        <w:ilvl w:val="1"/>
        <w:numId w:val="26"/>
      </w:numPr>
      <w:ind w:left="1134" w:hanging="567"/>
      <w:jc w:val="both"/>
      <w:keepNext/>
      <w:spacing w:before="360"/>
      <w:tabs>
        <w:tab w:val="left" w:pos="1418" w:leader="none"/>
      </w:tabs>
      <w:outlineLvl w:val="1"/>
    </w:pPr>
    <w:rPr>
      <w:rFonts w:eastAsia="Times New Roman" w:cs="Times New Roman"/>
      <w:b/>
      <w:sz w:val="28"/>
      <w:szCs w:val="28"/>
      <w:lang w:eastAsia="ru-RU"/>
    </w:rPr>
  </w:style>
  <w:style w:type="paragraph" w:styleId="1162" w:customStyle="1">
    <w:name w:val="РГ_ЕПоЗ_а)"/>
    <w:basedOn w:val="1150"/>
    <w:link w:val="1164"/>
    <w:qFormat/>
    <w:pPr>
      <w:numPr>
        <w:ilvl w:val="4"/>
        <w:numId w:val="26"/>
      </w:numPr>
      <w:contextualSpacing w:val="0"/>
      <w:jc w:val="both"/>
    </w:pPr>
    <w:rPr>
      <w:rFonts w:eastAsia="Calibri" w:cs="Times New Roman"/>
      <w:sz w:val="28"/>
      <w:szCs w:val="28"/>
    </w:rPr>
  </w:style>
  <w:style w:type="paragraph" w:styleId="1163" w:customStyle="1">
    <w:name w:val="РГ_ЕПоЗ_1.1.1.1"/>
    <w:basedOn w:val="1103"/>
    <w:qFormat/>
    <w:pPr>
      <w:numPr>
        <w:ilvl w:val="3"/>
        <w:numId w:val="26"/>
      </w:numPr>
      <w:jc w:val="both"/>
      <w:tabs>
        <w:tab w:val="left" w:pos="1843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4" w:customStyle="1">
    <w:name w:val="РГ_ЕПоЗ_а) Знак"/>
    <w:basedOn w:val="1107"/>
    <w:link w:val="1162"/>
    <w:rPr>
      <w:rFonts w:eastAsia="Calibri" w:cs="Times New Roman"/>
      <w:sz w:val="28"/>
      <w:szCs w:val="28"/>
    </w:rPr>
  </w:style>
  <w:style w:type="paragraph" w:styleId="1165" w:customStyle="1">
    <w:name w:val="РГ_ЕПоЗ_-"/>
    <w:basedOn w:val="1103"/>
    <w:link w:val="1167"/>
    <w:qFormat/>
    <w:pPr>
      <w:numPr>
        <w:ilvl w:val="5"/>
        <w:numId w:val="26"/>
      </w:numPr>
      <w:jc w:val="both"/>
      <w:spacing w:before="0"/>
      <w:tabs>
        <w:tab w:val="left" w:pos="2552" w:leader="none"/>
      </w:tabs>
    </w:pPr>
    <w:rPr>
      <w:rFonts w:eastAsia="Times New Roman" w:cs="Times New Roman"/>
      <w:sz w:val="28"/>
      <w:szCs w:val="20"/>
      <w:lang w:eastAsia="ru-RU"/>
    </w:rPr>
  </w:style>
  <w:style w:type="paragraph" w:styleId="1166" w:customStyle="1">
    <w:name w:val="РГ_ЕПоЗ_1.1.1"/>
    <w:basedOn w:val="1103"/>
    <w:qFormat/>
    <w:pPr>
      <w:numPr>
        <w:ilvl w:val="2"/>
        <w:numId w:val="26"/>
      </w:numPr>
      <w:jc w:val="both"/>
      <w:tabs>
        <w:tab w:val="left" w:pos="1134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7" w:customStyle="1">
    <w:name w:val="РГ_ЕПоЗ_- Знак"/>
    <w:basedOn w:val="1107"/>
    <w:link w:val="1165"/>
    <w:rPr>
      <w:rFonts w:eastAsia="Times New Roman" w:cs="Times New Roman"/>
      <w:sz w:val="28"/>
      <w:szCs w:val="20"/>
      <w:lang w:eastAsia="ru-RU"/>
    </w:rPr>
  </w:style>
  <w:style w:type="paragraph" w:styleId="1168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://www.roseltorg.ru/knowledge_db/docs/documents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dgk@dgk.ru" TargetMode="External"/><Relationship Id="rId18" Type="http://schemas.openxmlformats.org/officeDocument/2006/relationships/hyperlink" Target="mailto:fedyasheva-ig@dgk.ru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1.svg"/><Relationship Id="rId21" Type="http://schemas.openxmlformats.org/officeDocument/2006/relationships/image" Target="media/image3.png"/><Relationship Id="rId22" Type="http://schemas.openxmlformats.org/officeDocument/2006/relationships/image" Target="media/media2.svg"/><Relationship Id="rId23" Type="http://schemas.openxmlformats.org/officeDocument/2006/relationships/image" Target="media/image4.png"/><Relationship Id="rId24" Type="http://schemas.openxmlformats.org/officeDocument/2006/relationships/image" Target="media/media3.svg"/><Relationship Id="rId25" Type="http://schemas.openxmlformats.org/officeDocument/2006/relationships/image" Target="media/image5.png"/><Relationship Id="rId26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3160-6867-45F3-941F-E021B5F5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26</cp:revision>
  <dcterms:created xsi:type="dcterms:W3CDTF">2025-07-21T13:44:00Z</dcterms:created>
  <dcterms:modified xsi:type="dcterms:W3CDTF">2026-08-10T02:05:42Z</dcterms:modified>
</cp:coreProperties>
</file>